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034BA1">
      <w:pPr>
        <w:jc w:val="center"/>
        <w:rPr>
          <w:rFonts w:ascii="楷体" w:hAnsi="楷体" w:eastAsia="楷体" w:cs="楷体"/>
          <w:sz w:val="48"/>
          <w:szCs w:val="48"/>
        </w:rPr>
      </w:pPr>
    </w:p>
    <w:p w14:paraId="11794A44">
      <w:pPr>
        <w:rPr>
          <w:rFonts w:ascii="楷体" w:hAnsi="楷体" w:eastAsia="楷体" w:cs="楷体"/>
          <w:sz w:val="48"/>
          <w:szCs w:val="48"/>
        </w:rPr>
      </w:pPr>
    </w:p>
    <w:p w14:paraId="7522BFF5">
      <w:pPr>
        <w:jc w:val="center"/>
        <w:rPr>
          <w:rFonts w:ascii="楷体" w:hAnsi="楷体" w:eastAsia="楷体" w:cs="楷体"/>
          <w:b/>
          <w:color w:val="000000"/>
          <w:sz w:val="44"/>
          <w:szCs w:val="44"/>
        </w:rPr>
      </w:pPr>
      <w:r>
        <w:rPr>
          <w:rFonts w:ascii="宋体" w:hAnsi="宋体"/>
          <w:b/>
          <w:sz w:val="52"/>
          <w:szCs w:val="52"/>
        </w:rPr>
        <w:t>202</w:t>
      </w:r>
      <w:r>
        <w:rPr>
          <w:rFonts w:hint="eastAsia" w:ascii="宋体" w:hAnsi="宋体"/>
          <w:b/>
          <w:sz w:val="52"/>
          <w:szCs w:val="52"/>
          <w:lang w:val="en-US" w:eastAsia="zh-CN"/>
        </w:rPr>
        <w:t>4</w:t>
      </w:r>
      <w:r>
        <w:rPr>
          <w:rFonts w:ascii="宋体" w:hAnsi="宋体"/>
          <w:b/>
          <w:sz w:val="52"/>
          <w:szCs w:val="52"/>
        </w:rPr>
        <w:t>年</w:t>
      </w:r>
    </w:p>
    <w:p w14:paraId="512B0F1E">
      <w:pPr>
        <w:ind w:firstLine="2880" w:firstLineChars="600"/>
        <w:rPr>
          <w:rFonts w:ascii="楷体" w:hAnsi="楷体" w:eastAsia="楷体" w:cs="楷体"/>
          <w:sz w:val="48"/>
          <w:szCs w:val="48"/>
        </w:rPr>
      </w:pPr>
    </w:p>
    <w:p w14:paraId="7BEFC823">
      <w:pPr>
        <w:ind w:firstLine="2880" w:firstLineChars="600"/>
        <w:rPr>
          <w:rFonts w:ascii="楷体" w:hAnsi="楷体" w:eastAsia="楷体" w:cs="楷体"/>
          <w:sz w:val="48"/>
          <w:szCs w:val="48"/>
        </w:rPr>
      </w:pPr>
    </w:p>
    <w:p w14:paraId="38DDE98A">
      <w:pPr>
        <w:ind w:firstLine="2880" w:firstLineChars="600"/>
        <w:rPr>
          <w:rFonts w:ascii="楷体" w:hAnsi="楷体" w:eastAsia="楷体" w:cs="楷体"/>
          <w:sz w:val="48"/>
          <w:szCs w:val="48"/>
        </w:rPr>
      </w:pPr>
    </w:p>
    <w:p w14:paraId="345532AB">
      <w:pPr>
        <w:ind w:firstLine="2880" w:firstLineChars="600"/>
        <w:rPr>
          <w:rFonts w:ascii="楷体" w:hAnsi="楷体" w:eastAsia="楷体" w:cs="楷体"/>
          <w:sz w:val="48"/>
          <w:szCs w:val="48"/>
        </w:rPr>
      </w:pPr>
    </w:p>
    <w:p w14:paraId="4385944D">
      <w:pPr>
        <w:jc w:val="center"/>
        <w:rPr>
          <w:rFonts w:ascii="楷体" w:hAnsi="楷体" w:eastAsia="楷体" w:cs="楷体"/>
          <w:sz w:val="84"/>
          <w:szCs w:val="84"/>
        </w:rPr>
      </w:pPr>
      <w:r>
        <w:rPr>
          <w:rFonts w:hint="eastAsia" w:ascii="华文中宋" w:hAnsi="华文中宋" w:eastAsia="华文中宋"/>
          <w:b/>
          <w:sz w:val="84"/>
          <w:szCs w:val="84"/>
        </w:rPr>
        <w:t>社会责任报告</w:t>
      </w:r>
    </w:p>
    <w:p w14:paraId="76972111">
      <w:pPr>
        <w:ind w:firstLine="2880" w:firstLineChars="600"/>
        <w:rPr>
          <w:rFonts w:ascii="楷体" w:hAnsi="楷体" w:eastAsia="楷体" w:cs="楷体"/>
          <w:sz w:val="48"/>
          <w:szCs w:val="48"/>
        </w:rPr>
      </w:pPr>
    </w:p>
    <w:p w14:paraId="1EDC73E0">
      <w:pPr>
        <w:ind w:firstLine="2880" w:firstLineChars="600"/>
        <w:rPr>
          <w:rFonts w:ascii="楷体" w:hAnsi="楷体" w:eastAsia="楷体" w:cs="楷体"/>
          <w:sz w:val="48"/>
          <w:szCs w:val="48"/>
        </w:rPr>
      </w:pPr>
    </w:p>
    <w:p w14:paraId="0A562508">
      <w:pPr>
        <w:ind w:firstLine="2880" w:firstLineChars="600"/>
        <w:rPr>
          <w:rFonts w:ascii="楷体" w:hAnsi="楷体" w:eastAsia="楷体" w:cs="楷体"/>
          <w:sz w:val="48"/>
          <w:szCs w:val="48"/>
        </w:rPr>
      </w:pPr>
    </w:p>
    <w:p w14:paraId="25D7506A">
      <w:pPr>
        <w:ind w:firstLine="2880" w:firstLineChars="600"/>
        <w:rPr>
          <w:rFonts w:ascii="楷体" w:hAnsi="楷体" w:eastAsia="楷体" w:cs="楷体"/>
          <w:sz w:val="48"/>
          <w:szCs w:val="48"/>
        </w:rPr>
      </w:pPr>
    </w:p>
    <w:p w14:paraId="5034C84D">
      <w:pPr>
        <w:ind w:firstLine="2880" w:firstLineChars="600"/>
        <w:rPr>
          <w:rFonts w:ascii="楷体" w:hAnsi="楷体" w:eastAsia="楷体" w:cs="楷体"/>
          <w:sz w:val="48"/>
          <w:szCs w:val="48"/>
        </w:rPr>
      </w:pPr>
    </w:p>
    <w:p w14:paraId="13F50AFE">
      <w:pPr>
        <w:ind w:firstLine="2880" w:firstLineChars="600"/>
        <w:rPr>
          <w:rFonts w:ascii="楷体" w:hAnsi="楷体" w:eastAsia="楷体" w:cs="楷体"/>
          <w:sz w:val="48"/>
          <w:szCs w:val="48"/>
        </w:rPr>
      </w:pPr>
    </w:p>
    <w:p w14:paraId="3AB35DA8">
      <w:pPr>
        <w:ind w:firstLine="2880" w:firstLineChars="600"/>
        <w:rPr>
          <w:rFonts w:ascii="楷体" w:hAnsi="楷体" w:eastAsia="楷体" w:cs="楷体"/>
          <w:sz w:val="48"/>
          <w:szCs w:val="48"/>
        </w:rPr>
      </w:pPr>
    </w:p>
    <w:p w14:paraId="0E1CD664">
      <w:pPr>
        <w:ind w:firstLine="2880" w:firstLineChars="600"/>
        <w:rPr>
          <w:rFonts w:ascii="楷体" w:hAnsi="楷体" w:eastAsia="楷体" w:cs="楷体"/>
          <w:sz w:val="48"/>
          <w:szCs w:val="48"/>
        </w:rPr>
      </w:pPr>
    </w:p>
    <w:p w14:paraId="03598470">
      <w:pPr>
        <w:ind w:firstLine="2880" w:firstLineChars="600"/>
        <w:rPr>
          <w:rFonts w:ascii="楷体" w:hAnsi="楷体" w:eastAsia="楷体" w:cs="楷体"/>
          <w:sz w:val="48"/>
          <w:szCs w:val="48"/>
        </w:rPr>
      </w:pPr>
    </w:p>
    <w:p w14:paraId="1C3A6274">
      <w:pPr>
        <w:jc w:val="center"/>
        <w:rPr>
          <w:rFonts w:ascii="宋体" w:hAnsi="宋体"/>
          <w:b/>
          <w:sz w:val="32"/>
          <w:szCs w:val="32"/>
        </w:rPr>
      </w:pPr>
      <w:r>
        <w:rPr>
          <w:rFonts w:hint="eastAsia" w:ascii="宋体" w:hAnsi="宋体"/>
          <w:b/>
          <w:sz w:val="32"/>
          <w:szCs w:val="32"/>
        </w:rPr>
        <w:t>三思永恒科技（浙江）有限公司</w:t>
      </w:r>
    </w:p>
    <w:p w14:paraId="06DFC49A">
      <w:pPr>
        <w:jc w:val="center"/>
        <w:rPr>
          <w:rFonts w:ascii="宋体" w:hAnsi="宋体"/>
          <w:b/>
          <w:sz w:val="28"/>
          <w:szCs w:val="28"/>
        </w:rPr>
      </w:pPr>
      <w:r>
        <w:rPr>
          <w:rFonts w:hint="eastAsia" w:ascii="宋体" w:hAnsi="宋体"/>
          <w:b/>
          <w:sz w:val="28"/>
          <w:szCs w:val="28"/>
        </w:rPr>
        <w:t>二零二</w:t>
      </w:r>
      <w:r>
        <w:rPr>
          <w:rFonts w:hint="eastAsia" w:ascii="宋体" w:hAnsi="宋体"/>
          <w:b/>
          <w:sz w:val="28"/>
          <w:szCs w:val="28"/>
          <w:lang w:val="en-US" w:eastAsia="zh-CN"/>
        </w:rPr>
        <w:t>四</w:t>
      </w:r>
      <w:r>
        <w:rPr>
          <w:rFonts w:hint="eastAsia" w:ascii="宋体" w:hAnsi="宋体"/>
          <w:b/>
          <w:sz w:val="28"/>
          <w:szCs w:val="28"/>
        </w:rPr>
        <w:t>年八月</w:t>
      </w:r>
    </w:p>
    <w:p w14:paraId="5185EDDC">
      <w:pPr>
        <w:widowControl/>
        <w:jc w:val="left"/>
        <w:rPr>
          <w:rFonts w:ascii="楷体" w:hAnsi="楷体" w:eastAsia="楷体" w:cs="楷体"/>
          <w:sz w:val="32"/>
          <w:szCs w:val="32"/>
        </w:rPr>
      </w:pPr>
      <w:r>
        <w:rPr>
          <w:rFonts w:ascii="楷体" w:hAnsi="楷体" w:eastAsia="楷体" w:cs="楷体"/>
          <w:sz w:val="32"/>
          <w:szCs w:val="32"/>
        </w:rPr>
        <w:br w:type="page"/>
      </w:r>
    </w:p>
    <w:sdt>
      <w:sdtPr>
        <w:rPr>
          <w:rFonts w:ascii="Calibri" w:hAnsi="Calibri" w:eastAsia="宋体" w:cs="Times New Roman"/>
          <w:b w:val="0"/>
          <w:bCs w:val="0"/>
          <w:color w:val="auto"/>
          <w:kern w:val="2"/>
          <w:sz w:val="21"/>
          <w:szCs w:val="22"/>
          <w:lang w:val="zh-CN"/>
        </w:rPr>
        <w:id w:val="743682260"/>
      </w:sdtPr>
      <w:sdtEndPr>
        <w:rPr>
          <w:rFonts w:ascii="Calibri" w:hAnsi="Calibri" w:eastAsia="宋体" w:cs="Times New Roman"/>
          <w:b w:val="0"/>
          <w:bCs w:val="0"/>
          <w:color w:val="auto"/>
          <w:kern w:val="2"/>
          <w:sz w:val="21"/>
          <w:szCs w:val="22"/>
          <w:lang w:val="zh-CN"/>
        </w:rPr>
      </w:sdtEndPr>
      <w:sdtContent>
        <w:p w14:paraId="1A02E751">
          <w:pPr>
            <w:pStyle w:val="60"/>
            <w:jc w:val="center"/>
          </w:pPr>
          <w:r>
            <w:rPr>
              <w:lang w:val="zh-CN"/>
            </w:rPr>
            <w:t>目录</w:t>
          </w:r>
        </w:p>
        <w:p w14:paraId="7C70D275">
          <w:pPr>
            <w:pStyle w:val="13"/>
            <w:tabs>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TOC \o "1-3" \h \z \u </w:instrText>
          </w:r>
          <w:r>
            <w:fldChar w:fldCharType="separate"/>
          </w:r>
          <w:r>
            <w:fldChar w:fldCharType="begin"/>
          </w:r>
          <w:r>
            <w:instrText xml:space="preserve"> HYPERLINK \l "_Toc47951653" </w:instrText>
          </w:r>
          <w:r>
            <w:fldChar w:fldCharType="separate"/>
          </w:r>
          <w:r>
            <w:rPr>
              <w:rStyle w:val="26"/>
              <w:rFonts w:hint="eastAsia" w:ascii="宋体" w:hAnsi="宋体"/>
            </w:rPr>
            <w:t>郑重声明</w:t>
          </w:r>
          <w:r>
            <w:tab/>
          </w:r>
          <w:r>
            <w:fldChar w:fldCharType="begin"/>
          </w:r>
          <w:r>
            <w:instrText xml:space="preserve"> PAGEREF _Toc47951653 \h </w:instrText>
          </w:r>
          <w:r>
            <w:fldChar w:fldCharType="separate"/>
          </w:r>
          <w:r>
            <w:t>3</w:t>
          </w:r>
          <w:r>
            <w:fldChar w:fldCharType="end"/>
          </w:r>
          <w:r>
            <w:fldChar w:fldCharType="end"/>
          </w:r>
        </w:p>
        <w:p w14:paraId="0F46D003">
          <w:pPr>
            <w:pStyle w:val="13"/>
            <w:tabs>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"_Toc47951654" </w:instrText>
          </w:r>
          <w:r>
            <w:fldChar w:fldCharType="separate"/>
          </w:r>
          <w:r>
            <w:rPr>
              <w:rStyle w:val="26"/>
              <w:rFonts w:hint="eastAsia" w:ascii="宋体" w:hAnsi="宋体"/>
            </w:rPr>
            <w:t>管理者致辞</w:t>
          </w:r>
          <w:r>
            <w:tab/>
          </w:r>
          <w:r>
            <w:fldChar w:fldCharType="begin"/>
          </w:r>
          <w:r>
            <w:instrText xml:space="preserve"> PAGEREF _Toc47951654 \h </w:instrText>
          </w:r>
          <w:r>
            <w:fldChar w:fldCharType="separate"/>
          </w:r>
          <w:r>
            <w:t>4</w:t>
          </w:r>
          <w:r>
            <w:fldChar w:fldCharType="end"/>
          </w:r>
          <w:r>
            <w:fldChar w:fldCharType="end"/>
          </w:r>
        </w:p>
        <w:p w14:paraId="2AA6C028">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"_Toc47951655" </w:instrText>
          </w:r>
          <w:r>
            <w:fldChar w:fldCharType="separate"/>
          </w:r>
          <w:r>
            <w:rPr>
              <w:rStyle w:val="26"/>
              <w:rFonts w:hint="eastAsia" w:ascii="宋体" w:hAnsi="宋体"/>
            </w:rPr>
            <w:t>一.</w:t>
          </w:r>
          <w:r>
            <w:rPr>
              <w:rFonts w:asciiTheme="minorHAnsi" w:hAnsiTheme="minorHAnsi" w:eastAsiaTheme="minorEastAsia" w:cstheme="minorBidi"/>
              <w:b w:val="0"/>
              <w:bCs w:val="0"/>
              <w:caps w:val="0"/>
              <w:sz w:val="21"/>
              <w:szCs w:val="22"/>
            </w:rPr>
            <w:tab/>
          </w:r>
          <w:r>
            <w:rPr>
              <w:rStyle w:val="26"/>
              <w:rFonts w:hint="eastAsia" w:ascii="宋体" w:hAnsi="宋体"/>
            </w:rPr>
            <w:t>公司概况</w:t>
          </w:r>
          <w:r>
            <w:tab/>
          </w:r>
          <w:r>
            <w:fldChar w:fldCharType="begin"/>
          </w:r>
          <w:r>
            <w:instrText xml:space="preserve"> PAGEREF _Toc47951655 \h </w:instrText>
          </w:r>
          <w:r>
            <w:fldChar w:fldCharType="separate"/>
          </w:r>
          <w:r>
            <w:t>5</w:t>
          </w:r>
          <w:r>
            <w:fldChar w:fldCharType="end"/>
          </w:r>
          <w:r>
            <w:fldChar w:fldCharType="end"/>
          </w:r>
        </w:p>
        <w:p w14:paraId="5A2699CB">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"_Toc47951656" </w:instrText>
          </w:r>
          <w:r>
            <w:fldChar w:fldCharType="separate"/>
          </w:r>
          <w:r>
            <w:rPr>
              <w:rStyle w:val="26"/>
              <w:rFonts w:hint="eastAsia" w:ascii="宋体" w:hAnsi="宋体"/>
            </w:rPr>
            <w:t>二.</w:t>
          </w:r>
          <w:r>
            <w:rPr>
              <w:rFonts w:asciiTheme="minorHAnsi" w:hAnsiTheme="minorHAnsi" w:eastAsiaTheme="minorEastAsia" w:cstheme="minorBidi"/>
              <w:b w:val="0"/>
              <w:bCs w:val="0"/>
              <w:caps w:val="0"/>
              <w:sz w:val="21"/>
              <w:szCs w:val="22"/>
            </w:rPr>
            <w:tab/>
          </w:r>
          <w:r>
            <w:rPr>
              <w:rStyle w:val="26"/>
              <w:rFonts w:hint="eastAsia" w:ascii="宋体" w:hAnsi="宋体"/>
            </w:rPr>
            <w:t>核心价值观</w:t>
          </w:r>
          <w:r>
            <w:tab/>
          </w:r>
          <w:r>
            <w:fldChar w:fldCharType="begin"/>
          </w:r>
          <w:r>
            <w:instrText xml:space="preserve"> PAGEREF _Toc47951656 \h </w:instrText>
          </w:r>
          <w:r>
            <w:fldChar w:fldCharType="separate"/>
          </w:r>
          <w:r>
            <w:t>5</w:t>
          </w:r>
          <w:r>
            <w:fldChar w:fldCharType="end"/>
          </w:r>
          <w:r>
            <w:fldChar w:fldCharType="end"/>
          </w:r>
        </w:p>
        <w:p w14:paraId="15E6E3BB">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"_Toc47951657" </w:instrText>
          </w:r>
          <w:r>
            <w:fldChar w:fldCharType="separate"/>
          </w:r>
          <w:r>
            <w:rPr>
              <w:rStyle w:val="26"/>
              <w:rFonts w:hint="eastAsia" w:ascii="宋体" w:hAnsi="宋体"/>
            </w:rPr>
            <w:t>三.</w:t>
          </w:r>
          <w:r>
            <w:rPr>
              <w:rFonts w:asciiTheme="minorHAnsi" w:hAnsiTheme="minorHAnsi" w:eastAsiaTheme="minorEastAsia" w:cstheme="minorBidi"/>
              <w:b w:val="0"/>
              <w:bCs w:val="0"/>
              <w:caps w:val="0"/>
              <w:sz w:val="21"/>
              <w:szCs w:val="22"/>
            </w:rPr>
            <w:tab/>
          </w:r>
          <w:r>
            <w:rPr>
              <w:rStyle w:val="26"/>
              <w:rFonts w:hint="eastAsia" w:ascii="宋体" w:hAnsi="宋体"/>
            </w:rPr>
            <w:t>核心文化</w:t>
          </w:r>
          <w:r>
            <w:tab/>
          </w:r>
          <w:r>
            <w:fldChar w:fldCharType="begin"/>
          </w:r>
          <w:r>
            <w:instrText xml:space="preserve"> PAGEREF _Toc47951657 \h </w:instrText>
          </w:r>
          <w:r>
            <w:fldChar w:fldCharType="separate"/>
          </w:r>
          <w:r>
            <w:t>6</w:t>
          </w:r>
          <w:r>
            <w:fldChar w:fldCharType="end"/>
          </w:r>
          <w:r>
            <w:fldChar w:fldCharType="end"/>
          </w:r>
        </w:p>
        <w:p w14:paraId="55BB2E63">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"_Toc47951658" </w:instrText>
          </w:r>
          <w:r>
            <w:fldChar w:fldCharType="separate"/>
          </w:r>
          <w:r>
            <w:rPr>
              <w:rStyle w:val="26"/>
              <w:rFonts w:hint="eastAsia" w:ascii="宋体" w:hAnsi="宋体"/>
            </w:rPr>
            <w:t>四.</w:t>
          </w:r>
          <w:r>
            <w:rPr>
              <w:rFonts w:asciiTheme="minorHAnsi" w:hAnsiTheme="minorHAnsi" w:eastAsiaTheme="minorEastAsia" w:cstheme="minorBidi"/>
              <w:b w:val="0"/>
              <w:bCs w:val="0"/>
              <w:caps w:val="0"/>
              <w:sz w:val="21"/>
              <w:szCs w:val="22"/>
            </w:rPr>
            <w:tab/>
          </w:r>
          <w:r>
            <w:rPr>
              <w:rStyle w:val="26"/>
              <w:rFonts w:hint="eastAsia" w:ascii="宋体" w:hAnsi="宋体"/>
            </w:rPr>
            <w:t>组织机构</w:t>
          </w:r>
          <w:r>
            <w:tab/>
          </w:r>
          <w:r>
            <w:fldChar w:fldCharType="begin"/>
          </w:r>
          <w:r>
            <w:instrText xml:space="preserve"> PAGEREF _Toc47951658 \h </w:instrText>
          </w:r>
          <w:r>
            <w:fldChar w:fldCharType="separate"/>
          </w:r>
          <w:r>
            <w:t>6</w:t>
          </w:r>
          <w:r>
            <w:fldChar w:fldCharType="end"/>
          </w:r>
          <w:r>
            <w:fldChar w:fldCharType="end"/>
          </w:r>
        </w:p>
        <w:p w14:paraId="08EF6150">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"_Toc47951659" </w:instrText>
          </w:r>
          <w:r>
            <w:fldChar w:fldCharType="separate"/>
          </w:r>
          <w:r>
            <w:rPr>
              <w:rStyle w:val="26"/>
              <w:rFonts w:hint="eastAsia" w:ascii="宋体" w:hAnsi="宋体"/>
            </w:rPr>
            <w:t>五.</w:t>
          </w:r>
          <w:r>
            <w:rPr>
              <w:rFonts w:asciiTheme="minorHAnsi" w:hAnsiTheme="minorHAnsi" w:eastAsiaTheme="minorEastAsia" w:cstheme="minorBidi"/>
              <w:b w:val="0"/>
              <w:bCs w:val="0"/>
              <w:caps w:val="0"/>
              <w:sz w:val="21"/>
              <w:szCs w:val="22"/>
            </w:rPr>
            <w:tab/>
          </w:r>
          <w:r>
            <w:rPr>
              <w:rStyle w:val="26"/>
              <w:rFonts w:hint="eastAsia" w:ascii="宋体" w:hAnsi="宋体"/>
            </w:rPr>
            <w:t>管理体系</w:t>
          </w:r>
          <w:r>
            <w:tab/>
          </w:r>
          <w:r>
            <w:fldChar w:fldCharType="begin"/>
          </w:r>
          <w:r>
            <w:instrText xml:space="preserve"> PAGEREF _Toc47951659 \h </w:instrText>
          </w:r>
          <w:r>
            <w:fldChar w:fldCharType="separate"/>
          </w:r>
          <w:r>
            <w:t>6</w:t>
          </w:r>
          <w:r>
            <w:fldChar w:fldCharType="end"/>
          </w:r>
          <w:r>
            <w:fldChar w:fldCharType="end"/>
          </w:r>
        </w:p>
        <w:p w14:paraId="6274E944">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"_Toc47951660" </w:instrText>
          </w:r>
          <w:r>
            <w:fldChar w:fldCharType="separate"/>
          </w:r>
          <w:r>
            <w:rPr>
              <w:rStyle w:val="26"/>
              <w:rFonts w:hint="eastAsia" w:ascii="宋体" w:hAnsi="宋体"/>
            </w:rPr>
            <w:t>六.</w:t>
          </w:r>
          <w:r>
            <w:rPr>
              <w:rFonts w:asciiTheme="minorHAnsi" w:hAnsiTheme="minorHAnsi" w:eastAsiaTheme="minorEastAsia" w:cstheme="minorBidi"/>
              <w:b w:val="0"/>
              <w:bCs w:val="0"/>
              <w:caps w:val="0"/>
              <w:sz w:val="21"/>
              <w:szCs w:val="22"/>
            </w:rPr>
            <w:tab/>
          </w:r>
          <w:r>
            <w:rPr>
              <w:rStyle w:val="26"/>
              <w:rFonts w:hint="eastAsia" w:ascii="宋体" w:hAnsi="宋体"/>
            </w:rPr>
            <w:t>员工基本情况</w:t>
          </w:r>
          <w:r>
            <w:tab/>
          </w:r>
          <w:r>
            <w:fldChar w:fldCharType="begin"/>
          </w:r>
          <w:r>
            <w:instrText xml:space="preserve"> PAGEREF _Toc47951660 \h </w:instrText>
          </w:r>
          <w:r>
            <w:fldChar w:fldCharType="separate"/>
          </w:r>
          <w:r>
            <w:t>7</w:t>
          </w:r>
          <w:r>
            <w:fldChar w:fldCharType="end"/>
          </w:r>
          <w:r>
            <w:fldChar w:fldCharType="end"/>
          </w:r>
        </w:p>
        <w:p w14:paraId="3A25C02D">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"_Toc47951661" </w:instrText>
          </w:r>
          <w:r>
            <w:fldChar w:fldCharType="separate"/>
          </w:r>
          <w:r>
            <w:rPr>
              <w:rStyle w:val="26"/>
              <w:rFonts w:hint="eastAsia" w:ascii="宋体" w:hAnsi="宋体"/>
            </w:rPr>
            <w:t>七.</w:t>
          </w:r>
          <w:r>
            <w:rPr>
              <w:rFonts w:asciiTheme="minorHAnsi" w:hAnsiTheme="minorHAnsi" w:eastAsiaTheme="minorEastAsia" w:cstheme="minorBidi"/>
              <w:b w:val="0"/>
              <w:bCs w:val="0"/>
              <w:caps w:val="0"/>
              <w:sz w:val="21"/>
              <w:szCs w:val="22"/>
            </w:rPr>
            <w:tab/>
          </w:r>
          <w:r>
            <w:rPr>
              <w:rStyle w:val="26"/>
              <w:rFonts w:hint="eastAsia" w:ascii="宋体" w:hAnsi="宋体"/>
            </w:rPr>
            <w:t>主要产品和服务</w:t>
          </w:r>
          <w:r>
            <w:tab/>
          </w:r>
          <w:r>
            <w:fldChar w:fldCharType="begin"/>
          </w:r>
          <w:r>
            <w:instrText xml:space="preserve"> PAGEREF _Toc47951661 \h </w:instrText>
          </w:r>
          <w:r>
            <w:fldChar w:fldCharType="separate"/>
          </w:r>
          <w:r>
            <w:t>7</w:t>
          </w:r>
          <w:r>
            <w:fldChar w:fldCharType="end"/>
          </w:r>
          <w:r>
            <w:fldChar w:fldCharType="end"/>
          </w:r>
        </w:p>
        <w:p w14:paraId="554A5C75">
          <w:pPr>
            <w:pStyle w:val="14"/>
            <w:tabs>
              <w:tab w:val="left" w:pos="840"/>
            </w:tabs>
            <w:rPr>
              <w:rFonts w:asciiTheme="minorHAnsi" w:hAnsiTheme="minorHAnsi" w:eastAsiaTheme="minorEastAsia" w:cstheme="minorBidi"/>
              <w:b w:val="0"/>
              <w:sz w:val="21"/>
            </w:rPr>
          </w:pPr>
          <w:r>
            <w:fldChar w:fldCharType="begin"/>
          </w:r>
          <w:r>
            <w:instrText xml:space="preserve"> HYPERLINK \l "_Toc47951662" </w:instrText>
          </w:r>
          <w:r>
            <w:fldChar w:fldCharType="separate"/>
          </w:r>
          <w:r>
            <w:rPr>
              <w:rStyle w:val="26"/>
            </w:rPr>
            <w:t>1.</w:t>
          </w:r>
          <w:r>
            <w:rPr>
              <w:rFonts w:asciiTheme="minorHAnsi" w:hAnsiTheme="minorHAnsi" w:eastAsiaTheme="minorEastAsia" w:cstheme="minorBidi"/>
              <w:b w:val="0"/>
              <w:sz w:val="21"/>
            </w:rPr>
            <w:tab/>
          </w:r>
          <w:r>
            <w:rPr>
              <w:rStyle w:val="26"/>
              <w:rFonts w:hint="eastAsia"/>
            </w:rPr>
            <w:t>主要产品与服务的交付方式</w:t>
          </w:r>
          <w:r>
            <w:tab/>
          </w:r>
          <w:r>
            <w:fldChar w:fldCharType="begin"/>
          </w:r>
          <w:r>
            <w:instrText xml:space="preserve"> PAGEREF _Toc47951662 \h </w:instrText>
          </w:r>
          <w:r>
            <w:fldChar w:fldCharType="separate"/>
          </w:r>
          <w:r>
            <w:t>7</w:t>
          </w:r>
          <w:r>
            <w:fldChar w:fldCharType="end"/>
          </w:r>
          <w:r>
            <w:fldChar w:fldCharType="end"/>
          </w:r>
        </w:p>
        <w:p w14:paraId="20C9D3BD">
          <w:pPr>
            <w:pStyle w:val="14"/>
            <w:tabs>
              <w:tab w:val="left" w:pos="840"/>
            </w:tabs>
            <w:rPr>
              <w:rFonts w:asciiTheme="minorHAnsi" w:hAnsiTheme="minorHAnsi" w:eastAsiaTheme="minorEastAsia" w:cstheme="minorBidi"/>
              <w:b w:val="0"/>
              <w:sz w:val="21"/>
            </w:rPr>
          </w:pPr>
          <w:r>
            <w:fldChar w:fldCharType="begin"/>
          </w:r>
          <w:r>
            <w:instrText xml:space="preserve"> HYPERLINK \l "_Toc47951663" </w:instrText>
          </w:r>
          <w:r>
            <w:fldChar w:fldCharType="separate"/>
          </w:r>
          <w:r>
            <w:rPr>
              <w:rStyle w:val="26"/>
            </w:rPr>
            <w:t>2.</w:t>
          </w:r>
          <w:r>
            <w:rPr>
              <w:rFonts w:asciiTheme="minorHAnsi" w:hAnsiTheme="minorHAnsi" w:eastAsiaTheme="minorEastAsia" w:cstheme="minorBidi"/>
              <w:b w:val="0"/>
              <w:sz w:val="21"/>
            </w:rPr>
            <w:tab/>
          </w:r>
          <w:r>
            <w:rPr>
              <w:rStyle w:val="26"/>
              <w:rFonts w:hint="eastAsia" w:eastAsiaTheme="minorEastAsia"/>
            </w:rPr>
            <w:t>顾客</w:t>
          </w:r>
          <w:r>
            <w:rPr>
              <w:rStyle w:val="26"/>
              <w:rFonts w:hint="eastAsia"/>
            </w:rPr>
            <w:t>需求了解方式</w:t>
          </w:r>
          <w:r>
            <w:tab/>
          </w:r>
          <w:r>
            <w:fldChar w:fldCharType="begin"/>
          </w:r>
          <w:r>
            <w:instrText xml:space="preserve"> PAGEREF _Toc47951663 \h </w:instrText>
          </w:r>
          <w:r>
            <w:fldChar w:fldCharType="separate"/>
          </w:r>
          <w:r>
            <w:t>7</w:t>
          </w:r>
          <w:r>
            <w:fldChar w:fldCharType="end"/>
          </w:r>
          <w:r>
            <w:fldChar w:fldCharType="end"/>
          </w:r>
        </w:p>
        <w:p w14:paraId="79CCCE53">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"_Toc47951664" </w:instrText>
          </w:r>
          <w:r>
            <w:fldChar w:fldCharType="separate"/>
          </w:r>
          <w:r>
            <w:rPr>
              <w:rStyle w:val="26"/>
              <w:rFonts w:hint="eastAsia" w:ascii="宋体" w:hAnsi="宋体"/>
            </w:rPr>
            <w:t>八.</w:t>
          </w:r>
          <w:r>
            <w:rPr>
              <w:rFonts w:asciiTheme="minorHAnsi" w:hAnsiTheme="minorHAnsi" w:eastAsiaTheme="minorEastAsia" w:cstheme="minorBidi"/>
              <w:b w:val="0"/>
              <w:bCs w:val="0"/>
              <w:caps w:val="0"/>
              <w:sz w:val="21"/>
              <w:szCs w:val="22"/>
            </w:rPr>
            <w:tab/>
          </w:r>
          <w:r>
            <w:rPr>
              <w:rStyle w:val="26"/>
              <w:rFonts w:hint="eastAsia" w:ascii="宋体" w:hAnsi="宋体"/>
            </w:rPr>
            <w:t>主要技术和设备设施</w:t>
          </w:r>
          <w:r>
            <w:tab/>
          </w:r>
          <w:r>
            <w:fldChar w:fldCharType="begin"/>
          </w:r>
          <w:r>
            <w:instrText xml:space="preserve"> PAGEREF _Toc47951664 \h </w:instrText>
          </w:r>
          <w:r>
            <w:fldChar w:fldCharType="separate"/>
          </w:r>
          <w:r>
            <w:t>8</w:t>
          </w:r>
          <w:r>
            <w:fldChar w:fldCharType="end"/>
          </w:r>
          <w:r>
            <w:fldChar w:fldCharType="end"/>
          </w:r>
        </w:p>
        <w:p w14:paraId="41145018">
          <w:pPr>
            <w:pStyle w:val="14"/>
            <w:tabs>
              <w:tab w:val="left" w:pos="840"/>
            </w:tabs>
            <w:rPr>
              <w:rFonts w:asciiTheme="minorHAnsi" w:hAnsiTheme="minorHAnsi" w:eastAsiaTheme="minorEastAsia" w:cstheme="minorBidi"/>
              <w:b w:val="0"/>
              <w:sz w:val="21"/>
            </w:rPr>
          </w:pPr>
          <w:r>
            <w:fldChar w:fldCharType="begin"/>
          </w:r>
          <w:r>
            <w:instrText xml:space="preserve"> HYPERLINK \l "_Toc47951665" </w:instrText>
          </w:r>
          <w:r>
            <w:fldChar w:fldCharType="separate"/>
          </w:r>
          <w:r>
            <w:rPr>
              <w:rStyle w:val="26"/>
            </w:rPr>
            <w:t>1.</w:t>
          </w:r>
          <w:r>
            <w:rPr>
              <w:rFonts w:asciiTheme="minorHAnsi" w:hAnsiTheme="minorHAnsi" w:eastAsiaTheme="minorEastAsia" w:cstheme="minorBidi"/>
              <w:b w:val="0"/>
              <w:sz w:val="21"/>
            </w:rPr>
            <w:tab/>
          </w:r>
          <w:r>
            <w:rPr>
              <w:rStyle w:val="26"/>
              <w:rFonts w:hint="eastAsia"/>
            </w:rPr>
            <w:t>生产设备</w:t>
          </w:r>
          <w:r>
            <w:tab/>
          </w:r>
          <w:r>
            <w:fldChar w:fldCharType="begin"/>
          </w:r>
          <w:r>
            <w:instrText xml:space="preserve"> PAGEREF _Toc47951665 \h </w:instrText>
          </w:r>
          <w:r>
            <w:fldChar w:fldCharType="separate"/>
          </w:r>
          <w:r>
            <w:t>8</w:t>
          </w:r>
          <w:r>
            <w:fldChar w:fldCharType="end"/>
          </w:r>
          <w:r>
            <w:fldChar w:fldCharType="end"/>
          </w:r>
        </w:p>
        <w:p w14:paraId="435191FE">
          <w:pPr>
            <w:pStyle w:val="14"/>
            <w:tabs>
              <w:tab w:val="left" w:pos="840"/>
            </w:tabs>
            <w:rPr>
              <w:rFonts w:asciiTheme="minorHAnsi" w:hAnsiTheme="minorHAnsi" w:eastAsiaTheme="minorEastAsia" w:cstheme="minorBidi"/>
              <w:b w:val="0"/>
              <w:sz w:val="21"/>
            </w:rPr>
          </w:pPr>
          <w:r>
            <w:fldChar w:fldCharType="begin"/>
          </w:r>
          <w:r>
            <w:instrText xml:space="preserve"> HYPERLINK \l "_Toc47951666" </w:instrText>
          </w:r>
          <w:r>
            <w:fldChar w:fldCharType="separate"/>
          </w:r>
          <w:r>
            <w:rPr>
              <w:rStyle w:val="26"/>
            </w:rPr>
            <w:t>2.</w:t>
          </w:r>
          <w:r>
            <w:rPr>
              <w:rFonts w:asciiTheme="minorHAnsi" w:hAnsiTheme="minorHAnsi" w:eastAsiaTheme="minorEastAsia" w:cstheme="minorBidi"/>
              <w:b w:val="0"/>
              <w:sz w:val="21"/>
            </w:rPr>
            <w:tab/>
          </w:r>
          <w:r>
            <w:rPr>
              <w:rStyle w:val="26"/>
              <w:rFonts w:hint="eastAsia"/>
            </w:rPr>
            <w:t>研发与检测设备</w:t>
          </w:r>
          <w:r>
            <w:tab/>
          </w:r>
          <w:r>
            <w:fldChar w:fldCharType="begin"/>
          </w:r>
          <w:r>
            <w:instrText xml:space="preserve"> PAGEREF _Toc47951666 \h </w:instrText>
          </w:r>
          <w:r>
            <w:fldChar w:fldCharType="separate"/>
          </w:r>
          <w:r>
            <w:t>9</w:t>
          </w:r>
          <w:r>
            <w:fldChar w:fldCharType="end"/>
          </w:r>
          <w:r>
            <w:fldChar w:fldCharType="end"/>
          </w:r>
        </w:p>
        <w:p w14:paraId="2B5A9EFB">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"_Toc47951667" </w:instrText>
          </w:r>
          <w:r>
            <w:fldChar w:fldCharType="separate"/>
          </w:r>
          <w:r>
            <w:rPr>
              <w:rStyle w:val="26"/>
              <w:rFonts w:hint="eastAsia" w:ascii="宋体" w:hAnsi="宋体"/>
            </w:rPr>
            <w:t>九.</w:t>
          </w:r>
          <w:r>
            <w:rPr>
              <w:rFonts w:asciiTheme="minorHAnsi" w:hAnsiTheme="minorHAnsi" w:eastAsiaTheme="minorEastAsia" w:cstheme="minorBidi"/>
              <w:b w:val="0"/>
              <w:bCs w:val="0"/>
              <w:caps w:val="0"/>
              <w:sz w:val="21"/>
              <w:szCs w:val="22"/>
            </w:rPr>
            <w:tab/>
          </w:r>
          <w:r>
            <w:rPr>
              <w:rStyle w:val="26"/>
              <w:rFonts w:hint="eastAsia" w:ascii="宋体" w:hAnsi="宋体"/>
            </w:rPr>
            <w:t>市场分布</w:t>
          </w:r>
          <w:r>
            <w:tab/>
          </w:r>
          <w:r>
            <w:fldChar w:fldCharType="begin"/>
          </w:r>
          <w:r>
            <w:instrText xml:space="preserve"> PAGEREF _Toc47951667 \h </w:instrText>
          </w:r>
          <w:r>
            <w:fldChar w:fldCharType="separate"/>
          </w:r>
          <w:r>
            <w:t>10</w:t>
          </w:r>
          <w:r>
            <w:fldChar w:fldCharType="end"/>
          </w:r>
          <w:r>
            <w:fldChar w:fldCharType="end"/>
          </w:r>
        </w:p>
        <w:p w14:paraId="4E91D7A1">
          <w:pPr>
            <w:pStyle w:val="13"/>
            <w:tabs>
              <w:tab w:val="left" w:pos="63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"_Toc47951668" </w:instrText>
          </w:r>
          <w:r>
            <w:fldChar w:fldCharType="separate"/>
          </w:r>
          <w:r>
            <w:rPr>
              <w:rStyle w:val="26"/>
              <w:rFonts w:hint="eastAsia" w:ascii="宋体" w:hAnsi="宋体"/>
            </w:rPr>
            <w:t>十.</w:t>
          </w:r>
          <w:r>
            <w:rPr>
              <w:rFonts w:asciiTheme="minorHAnsi" w:hAnsiTheme="minorHAnsi" w:eastAsiaTheme="minorEastAsia" w:cstheme="minorBidi"/>
              <w:b w:val="0"/>
              <w:bCs w:val="0"/>
              <w:caps w:val="0"/>
              <w:sz w:val="21"/>
              <w:szCs w:val="22"/>
            </w:rPr>
            <w:tab/>
          </w:r>
          <w:r>
            <w:rPr>
              <w:rStyle w:val="26"/>
              <w:rFonts w:hint="eastAsia" w:ascii="宋体" w:hAnsi="宋体"/>
            </w:rPr>
            <w:t>利益相关方沟通与回应</w:t>
          </w:r>
          <w:r>
            <w:tab/>
          </w:r>
          <w:r>
            <w:fldChar w:fldCharType="begin"/>
          </w:r>
          <w:r>
            <w:instrText xml:space="preserve"> PAGEREF _Toc47951668 \h </w:instrText>
          </w:r>
          <w:r>
            <w:fldChar w:fldCharType="separate"/>
          </w:r>
          <w:r>
            <w:t>10</w:t>
          </w:r>
          <w:r>
            <w:fldChar w:fldCharType="end"/>
          </w:r>
          <w:r>
            <w:fldChar w:fldCharType="end"/>
          </w:r>
        </w:p>
        <w:p w14:paraId="4C0A0A2A">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"_Toc47951669" </w:instrText>
          </w:r>
          <w:r>
            <w:fldChar w:fldCharType="separate"/>
          </w:r>
          <w:r>
            <w:rPr>
              <w:rStyle w:val="26"/>
              <w:rFonts w:hint="eastAsia" w:ascii="宋体" w:hAnsi="宋体"/>
            </w:rPr>
            <w:t>十一.</w:t>
          </w:r>
          <w:r>
            <w:rPr>
              <w:rFonts w:asciiTheme="minorHAnsi" w:hAnsiTheme="minorHAnsi" w:eastAsiaTheme="minorEastAsia" w:cstheme="minorBidi"/>
              <w:b w:val="0"/>
              <w:bCs w:val="0"/>
              <w:caps w:val="0"/>
              <w:sz w:val="21"/>
              <w:szCs w:val="22"/>
            </w:rPr>
            <w:tab/>
          </w:r>
          <w:r>
            <w:rPr>
              <w:rStyle w:val="26"/>
              <w:rFonts w:hint="eastAsia" w:ascii="宋体" w:hAnsi="宋体"/>
            </w:rPr>
            <w:t>股东及其他相关方利益的保护</w:t>
          </w:r>
          <w:r>
            <w:tab/>
          </w:r>
          <w:r>
            <w:fldChar w:fldCharType="begin"/>
          </w:r>
          <w:r>
            <w:instrText xml:space="preserve"> PAGEREF _Toc47951669 \h </w:instrText>
          </w:r>
          <w:r>
            <w:fldChar w:fldCharType="separate"/>
          </w:r>
          <w:r>
            <w:t>11</w:t>
          </w:r>
          <w:r>
            <w:fldChar w:fldCharType="end"/>
          </w:r>
          <w:r>
            <w:fldChar w:fldCharType="end"/>
          </w:r>
        </w:p>
        <w:p w14:paraId="3834BC75">
          <w:pPr>
            <w:pStyle w:val="14"/>
            <w:tabs>
              <w:tab w:val="left" w:pos="840"/>
            </w:tabs>
            <w:rPr>
              <w:rFonts w:asciiTheme="minorHAnsi" w:hAnsiTheme="minorHAnsi" w:eastAsiaTheme="minorEastAsia" w:cstheme="minorBidi"/>
              <w:b w:val="0"/>
              <w:sz w:val="21"/>
            </w:rPr>
          </w:pPr>
          <w:r>
            <w:fldChar w:fldCharType="begin"/>
          </w:r>
          <w:r>
            <w:instrText xml:space="preserve"> HYPERLINK \l "_Toc47951670" </w:instrText>
          </w:r>
          <w:r>
            <w:fldChar w:fldCharType="separate"/>
          </w:r>
          <w:r>
            <w:rPr>
              <w:rStyle w:val="26"/>
            </w:rPr>
            <w:t>1.</w:t>
          </w:r>
          <w:r>
            <w:rPr>
              <w:rFonts w:asciiTheme="minorHAnsi" w:hAnsiTheme="minorHAnsi" w:eastAsiaTheme="minorEastAsia" w:cstheme="minorBidi"/>
              <w:b w:val="0"/>
              <w:sz w:val="21"/>
            </w:rPr>
            <w:tab/>
          </w:r>
          <w:r>
            <w:rPr>
              <w:rStyle w:val="26"/>
              <w:rFonts w:hint="eastAsia"/>
            </w:rPr>
            <w:t>股东利益的保护</w:t>
          </w:r>
          <w:r>
            <w:tab/>
          </w:r>
          <w:r>
            <w:fldChar w:fldCharType="begin"/>
          </w:r>
          <w:r>
            <w:instrText xml:space="preserve"> PAGEREF _Toc47951670 \h </w:instrText>
          </w:r>
          <w:r>
            <w:fldChar w:fldCharType="separate"/>
          </w:r>
          <w:r>
            <w:t>11</w:t>
          </w:r>
          <w:r>
            <w:fldChar w:fldCharType="end"/>
          </w:r>
          <w:r>
            <w:fldChar w:fldCharType="end"/>
          </w:r>
        </w:p>
        <w:p w14:paraId="5A2EAE1E">
          <w:pPr>
            <w:pStyle w:val="14"/>
            <w:tabs>
              <w:tab w:val="left" w:pos="840"/>
            </w:tabs>
            <w:rPr>
              <w:rFonts w:asciiTheme="minorHAnsi" w:hAnsiTheme="minorHAnsi" w:eastAsiaTheme="minorEastAsia" w:cstheme="minorBidi"/>
              <w:b w:val="0"/>
              <w:sz w:val="21"/>
            </w:rPr>
          </w:pPr>
          <w:r>
            <w:fldChar w:fldCharType="begin"/>
          </w:r>
          <w:r>
            <w:instrText xml:space="preserve"> HYPERLINK \l "_Toc47951671" </w:instrText>
          </w:r>
          <w:r>
            <w:fldChar w:fldCharType="separate"/>
          </w:r>
          <w:r>
            <w:rPr>
              <w:rStyle w:val="26"/>
            </w:rPr>
            <w:t>2.</w:t>
          </w:r>
          <w:r>
            <w:rPr>
              <w:rFonts w:asciiTheme="minorHAnsi" w:hAnsiTheme="minorHAnsi" w:eastAsiaTheme="minorEastAsia" w:cstheme="minorBidi"/>
              <w:b w:val="0"/>
              <w:sz w:val="21"/>
            </w:rPr>
            <w:tab/>
          </w:r>
          <w:r>
            <w:rPr>
              <w:rStyle w:val="26"/>
              <w:rFonts w:hint="eastAsia"/>
            </w:rPr>
            <w:t>供应商利益的保护</w:t>
          </w:r>
          <w:r>
            <w:tab/>
          </w:r>
          <w:r>
            <w:fldChar w:fldCharType="begin"/>
          </w:r>
          <w:r>
            <w:instrText xml:space="preserve"> PAGEREF _Toc47951671 \h </w:instrText>
          </w:r>
          <w:r>
            <w:fldChar w:fldCharType="separate"/>
          </w:r>
          <w:r>
            <w:t>11</w:t>
          </w:r>
          <w:r>
            <w:fldChar w:fldCharType="end"/>
          </w:r>
          <w:r>
            <w:fldChar w:fldCharType="end"/>
          </w:r>
        </w:p>
        <w:p w14:paraId="4BDA9807">
          <w:pPr>
            <w:pStyle w:val="14"/>
            <w:tabs>
              <w:tab w:val="left" w:pos="840"/>
            </w:tabs>
            <w:rPr>
              <w:rFonts w:asciiTheme="minorHAnsi" w:hAnsiTheme="minorHAnsi" w:eastAsiaTheme="minorEastAsia" w:cstheme="minorBidi"/>
              <w:b w:val="0"/>
              <w:sz w:val="21"/>
            </w:rPr>
          </w:pPr>
          <w:r>
            <w:fldChar w:fldCharType="begin"/>
          </w:r>
          <w:r>
            <w:instrText xml:space="preserve"> HYPERLINK \l "_Toc47951672" </w:instrText>
          </w:r>
          <w:r>
            <w:fldChar w:fldCharType="separate"/>
          </w:r>
          <w:r>
            <w:rPr>
              <w:rStyle w:val="26"/>
            </w:rPr>
            <w:t>3.</w:t>
          </w:r>
          <w:r>
            <w:rPr>
              <w:rFonts w:asciiTheme="minorHAnsi" w:hAnsiTheme="minorHAnsi" w:eastAsiaTheme="minorEastAsia" w:cstheme="minorBidi"/>
              <w:b w:val="0"/>
              <w:sz w:val="21"/>
            </w:rPr>
            <w:tab/>
          </w:r>
          <w:r>
            <w:rPr>
              <w:rStyle w:val="26"/>
              <w:rFonts w:hint="eastAsia" w:eastAsiaTheme="minorEastAsia"/>
            </w:rPr>
            <w:t>顾客</w:t>
          </w:r>
          <w:r>
            <w:rPr>
              <w:rStyle w:val="26"/>
              <w:rFonts w:hint="eastAsia"/>
            </w:rPr>
            <w:t>利益的保护</w:t>
          </w:r>
          <w:r>
            <w:tab/>
          </w:r>
          <w:r>
            <w:fldChar w:fldCharType="begin"/>
          </w:r>
          <w:r>
            <w:instrText xml:space="preserve"> PAGEREF _Toc47951672 \h </w:instrText>
          </w:r>
          <w:r>
            <w:fldChar w:fldCharType="separate"/>
          </w:r>
          <w:r>
            <w:t>12</w:t>
          </w:r>
          <w:r>
            <w:fldChar w:fldCharType="end"/>
          </w:r>
          <w:r>
            <w:fldChar w:fldCharType="end"/>
          </w:r>
        </w:p>
        <w:p w14:paraId="1C072A4C">
          <w:pPr>
            <w:pStyle w:val="14"/>
            <w:tabs>
              <w:tab w:val="left" w:pos="840"/>
            </w:tabs>
            <w:rPr>
              <w:rFonts w:asciiTheme="minorHAnsi" w:hAnsiTheme="minorHAnsi" w:eastAsiaTheme="minorEastAsia" w:cstheme="minorBidi"/>
              <w:b w:val="0"/>
              <w:sz w:val="21"/>
            </w:rPr>
          </w:pPr>
          <w:r>
            <w:fldChar w:fldCharType="begin"/>
          </w:r>
          <w:r>
            <w:instrText xml:space="preserve"> HYPERLINK \l "_Toc47951673" </w:instrText>
          </w:r>
          <w:r>
            <w:fldChar w:fldCharType="separate"/>
          </w:r>
          <w:r>
            <w:rPr>
              <w:rStyle w:val="26"/>
            </w:rPr>
            <w:t>4.</w:t>
          </w:r>
          <w:r>
            <w:rPr>
              <w:rFonts w:asciiTheme="minorHAnsi" w:hAnsiTheme="minorHAnsi" w:eastAsiaTheme="minorEastAsia" w:cstheme="minorBidi"/>
              <w:b w:val="0"/>
              <w:sz w:val="21"/>
            </w:rPr>
            <w:tab/>
          </w:r>
          <w:r>
            <w:rPr>
              <w:rStyle w:val="26"/>
              <w:rFonts w:hint="eastAsia"/>
            </w:rPr>
            <w:t>社会利益的保护</w:t>
          </w:r>
          <w:r>
            <w:tab/>
          </w:r>
          <w:r>
            <w:fldChar w:fldCharType="begin"/>
          </w:r>
          <w:r>
            <w:instrText xml:space="preserve"> PAGEREF _Toc47951673 \h </w:instrText>
          </w:r>
          <w:r>
            <w:fldChar w:fldCharType="separate"/>
          </w:r>
          <w:r>
            <w:t>12</w:t>
          </w:r>
          <w:r>
            <w:fldChar w:fldCharType="end"/>
          </w:r>
          <w:r>
            <w:fldChar w:fldCharType="end"/>
          </w:r>
        </w:p>
        <w:p w14:paraId="59EE72B6">
          <w:pPr>
            <w:pStyle w:val="14"/>
            <w:tabs>
              <w:tab w:val="left" w:pos="840"/>
            </w:tabs>
            <w:rPr>
              <w:rFonts w:asciiTheme="minorHAnsi" w:hAnsiTheme="minorHAnsi" w:eastAsiaTheme="minorEastAsia" w:cstheme="minorBidi"/>
              <w:b w:val="0"/>
              <w:sz w:val="21"/>
            </w:rPr>
          </w:pPr>
          <w:r>
            <w:fldChar w:fldCharType="begin"/>
          </w:r>
          <w:r>
            <w:instrText xml:space="preserve"> HYPERLINK \l "_Toc47951674" </w:instrText>
          </w:r>
          <w:r>
            <w:fldChar w:fldCharType="separate"/>
          </w:r>
          <w:r>
            <w:rPr>
              <w:rStyle w:val="26"/>
            </w:rPr>
            <w:t>5.</w:t>
          </w:r>
          <w:r>
            <w:rPr>
              <w:rFonts w:asciiTheme="minorHAnsi" w:hAnsiTheme="minorHAnsi" w:eastAsiaTheme="minorEastAsia" w:cstheme="minorBidi"/>
              <w:b w:val="0"/>
              <w:sz w:val="21"/>
            </w:rPr>
            <w:tab/>
          </w:r>
          <w:r>
            <w:rPr>
              <w:rStyle w:val="26"/>
              <w:rFonts w:hint="eastAsia"/>
            </w:rPr>
            <w:t>员工利益的保护</w:t>
          </w:r>
          <w:r>
            <w:tab/>
          </w:r>
          <w:r>
            <w:fldChar w:fldCharType="begin"/>
          </w:r>
          <w:r>
            <w:instrText xml:space="preserve"> PAGEREF _Toc47951674 \h </w:instrText>
          </w:r>
          <w:r>
            <w:fldChar w:fldCharType="separate"/>
          </w:r>
          <w:r>
            <w:t>12</w:t>
          </w:r>
          <w:r>
            <w:fldChar w:fldCharType="end"/>
          </w:r>
          <w:r>
            <w:fldChar w:fldCharType="end"/>
          </w:r>
        </w:p>
        <w:p w14:paraId="2BB38670">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"_Toc47951675" </w:instrText>
          </w:r>
          <w:r>
            <w:fldChar w:fldCharType="separate"/>
          </w:r>
          <w:r>
            <w:rPr>
              <w:rStyle w:val="26"/>
              <w:rFonts w:hint="eastAsia" w:ascii="宋体" w:hAnsi="宋体"/>
            </w:rPr>
            <w:t>十二.</w:t>
          </w:r>
          <w:r>
            <w:rPr>
              <w:rFonts w:asciiTheme="minorHAnsi" w:hAnsiTheme="minorHAnsi" w:eastAsiaTheme="minorEastAsia" w:cstheme="minorBidi"/>
              <w:b w:val="0"/>
              <w:bCs w:val="0"/>
              <w:caps w:val="0"/>
              <w:sz w:val="21"/>
              <w:szCs w:val="22"/>
            </w:rPr>
            <w:tab/>
          </w:r>
          <w:r>
            <w:rPr>
              <w:rStyle w:val="26"/>
              <w:rFonts w:hint="eastAsia" w:ascii="宋体" w:hAnsi="宋体"/>
            </w:rPr>
            <w:t>社会责任</w:t>
          </w:r>
          <w:r>
            <w:tab/>
          </w:r>
          <w:r>
            <w:fldChar w:fldCharType="begin"/>
          </w:r>
          <w:r>
            <w:instrText xml:space="preserve"> PAGEREF _Toc47951675 \h </w:instrText>
          </w:r>
          <w:r>
            <w:fldChar w:fldCharType="separate"/>
          </w:r>
          <w:r>
            <w:t>13</w:t>
          </w:r>
          <w:r>
            <w:fldChar w:fldCharType="end"/>
          </w:r>
          <w:r>
            <w:fldChar w:fldCharType="end"/>
          </w:r>
        </w:p>
        <w:p w14:paraId="213933C2">
          <w:pPr>
            <w:pStyle w:val="14"/>
            <w:tabs>
              <w:tab w:val="left" w:pos="840"/>
            </w:tabs>
            <w:rPr>
              <w:rFonts w:asciiTheme="minorHAnsi" w:hAnsiTheme="minorHAnsi" w:eastAsiaTheme="minorEastAsia" w:cstheme="minorBidi"/>
              <w:b w:val="0"/>
              <w:sz w:val="21"/>
            </w:rPr>
          </w:pPr>
          <w:r>
            <w:fldChar w:fldCharType="begin"/>
          </w:r>
          <w:r>
            <w:instrText xml:space="preserve"> HYPERLINK \l "_Toc47951676" </w:instrText>
          </w:r>
          <w:r>
            <w:fldChar w:fldCharType="separate"/>
          </w:r>
          <w:r>
            <w:rPr>
              <w:rStyle w:val="26"/>
            </w:rPr>
            <w:t>1.</w:t>
          </w:r>
          <w:r>
            <w:rPr>
              <w:rFonts w:asciiTheme="minorHAnsi" w:hAnsiTheme="minorHAnsi" w:eastAsiaTheme="minorEastAsia" w:cstheme="minorBidi"/>
              <w:b w:val="0"/>
              <w:sz w:val="21"/>
            </w:rPr>
            <w:tab/>
          </w:r>
          <w:r>
            <w:rPr>
              <w:rStyle w:val="26"/>
              <w:rFonts w:hint="eastAsia"/>
            </w:rPr>
            <w:t>公共责任</w:t>
          </w:r>
          <w:r>
            <w:tab/>
          </w:r>
          <w:r>
            <w:fldChar w:fldCharType="begin"/>
          </w:r>
          <w:r>
            <w:instrText xml:space="preserve"> PAGEREF _Toc47951676 \h </w:instrText>
          </w:r>
          <w:r>
            <w:fldChar w:fldCharType="separate"/>
          </w:r>
          <w:r>
            <w:t>13</w:t>
          </w:r>
          <w:r>
            <w:fldChar w:fldCharType="end"/>
          </w:r>
          <w:r>
            <w:fldChar w:fldCharType="end"/>
          </w:r>
        </w:p>
        <w:p w14:paraId="2A834E61">
          <w:pPr>
            <w:pStyle w:val="14"/>
            <w:tabs>
              <w:tab w:val="left" w:pos="840"/>
            </w:tabs>
            <w:rPr>
              <w:rFonts w:asciiTheme="minorHAnsi" w:hAnsiTheme="minorHAnsi" w:eastAsiaTheme="minorEastAsia" w:cstheme="minorBidi"/>
              <w:b w:val="0"/>
              <w:sz w:val="21"/>
            </w:rPr>
          </w:pPr>
          <w:r>
            <w:fldChar w:fldCharType="begin"/>
          </w:r>
          <w:r>
            <w:instrText xml:space="preserve"> HYPERLINK \l "_Toc47951677" </w:instrText>
          </w:r>
          <w:r>
            <w:fldChar w:fldCharType="separate"/>
          </w:r>
          <w:r>
            <w:rPr>
              <w:rStyle w:val="26"/>
            </w:rPr>
            <w:t>2.</w:t>
          </w:r>
          <w:r>
            <w:rPr>
              <w:rFonts w:asciiTheme="minorHAnsi" w:hAnsiTheme="minorHAnsi" w:eastAsiaTheme="minorEastAsia" w:cstheme="minorBidi"/>
              <w:b w:val="0"/>
              <w:sz w:val="21"/>
            </w:rPr>
            <w:tab/>
          </w:r>
          <w:r>
            <w:rPr>
              <w:rStyle w:val="26"/>
              <w:rFonts w:hint="eastAsia"/>
            </w:rPr>
            <w:t>道德行为</w:t>
          </w:r>
          <w:r>
            <w:tab/>
          </w:r>
          <w:r>
            <w:fldChar w:fldCharType="begin"/>
          </w:r>
          <w:r>
            <w:instrText xml:space="preserve"> PAGEREF _Toc47951677 \h </w:instrText>
          </w:r>
          <w:r>
            <w:fldChar w:fldCharType="separate"/>
          </w:r>
          <w:r>
            <w:t>13</w:t>
          </w:r>
          <w:r>
            <w:fldChar w:fldCharType="end"/>
          </w:r>
          <w:r>
            <w:fldChar w:fldCharType="end"/>
          </w:r>
        </w:p>
        <w:p w14:paraId="0A629BDC">
          <w:pPr>
            <w:pStyle w:val="14"/>
            <w:tabs>
              <w:tab w:val="left" w:pos="840"/>
            </w:tabs>
            <w:rPr>
              <w:rFonts w:asciiTheme="minorHAnsi" w:hAnsiTheme="minorHAnsi" w:eastAsiaTheme="minorEastAsia" w:cstheme="minorBidi"/>
              <w:b w:val="0"/>
              <w:sz w:val="21"/>
            </w:rPr>
          </w:pPr>
          <w:r>
            <w:fldChar w:fldCharType="begin"/>
          </w:r>
          <w:r>
            <w:instrText xml:space="preserve"> HYPERLINK \l "_Toc47951678" </w:instrText>
          </w:r>
          <w:r>
            <w:fldChar w:fldCharType="separate"/>
          </w:r>
          <w:r>
            <w:rPr>
              <w:rStyle w:val="26"/>
            </w:rPr>
            <w:t>3.</w:t>
          </w:r>
          <w:r>
            <w:rPr>
              <w:rFonts w:asciiTheme="minorHAnsi" w:hAnsiTheme="minorHAnsi" w:eastAsiaTheme="minorEastAsia" w:cstheme="minorBidi"/>
              <w:b w:val="0"/>
              <w:sz w:val="21"/>
            </w:rPr>
            <w:tab/>
          </w:r>
          <w:r>
            <w:rPr>
              <w:rStyle w:val="26"/>
              <w:rFonts w:hint="eastAsia"/>
            </w:rPr>
            <w:t>关爱员工</w:t>
          </w:r>
          <w:r>
            <w:tab/>
          </w:r>
          <w:r>
            <w:fldChar w:fldCharType="begin"/>
          </w:r>
          <w:r>
            <w:instrText xml:space="preserve"> PAGEREF _Toc47951678 \h </w:instrText>
          </w:r>
          <w:r>
            <w:fldChar w:fldCharType="separate"/>
          </w:r>
          <w:r>
            <w:t>14</w:t>
          </w:r>
          <w:r>
            <w:fldChar w:fldCharType="end"/>
          </w:r>
          <w:r>
            <w:fldChar w:fldCharType="end"/>
          </w:r>
        </w:p>
        <w:p w14:paraId="0401F861">
          <w:pPr>
            <w:pStyle w:val="8"/>
            <w:tabs>
              <w:tab w:val="left" w:pos="1260"/>
              <w:tab w:val="right" w:leader="dot" w:pos="8296"/>
            </w:tabs>
            <w:spacing w:after="0" w:line="240" w:lineRule="auto"/>
            <w:ind w:left="210" w:leftChars="100" w:firstLine="440" w:firstLineChars="200"/>
            <w:rPr>
              <w:rFonts w:asciiTheme="minorHAnsi" w:hAnsiTheme="minorHAnsi" w:eastAsiaTheme="minorEastAsia" w:cstheme="minorBidi"/>
              <w:kern w:val="2"/>
              <w:sz w:val="21"/>
            </w:rPr>
          </w:pPr>
          <w:r>
            <w:fldChar w:fldCharType="begin"/>
          </w:r>
          <w:r>
            <w:instrText xml:space="preserve"> HYPERLINK \l "_Toc47951679" </w:instrText>
          </w:r>
          <w:r>
            <w:fldChar w:fldCharType="separate"/>
          </w:r>
          <w:r>
            <w:rPr>
              <w:rStyle w:val="26"/>
              <w:rFonts w:ascii="宋体" w:hAnsi="宋体"/>
            </w:rPr>
            <w:t>3.1.</w:t>
          </w:r>
          <w:r>
            <w:rPr>
              <w:rFonts w:asciiTheme="minorHAnsi" w:hAnsiTheme="minorHAnsi" w:eastAsiaTheme="minorEastAsia" w:cstheme="minorBidi"/>
              <w:kern w:val="2"/>
              <w:sz w:val="21"/>
            </w:rPr>
            <w:tab/>
          </w:r>
          <w:r>
            <w:rPr>
              <w:rStyle w:val="26"/>
              <w:rFonts w:hint="eastAsia" w:ascii="宋体" w:hAnsi="宋体"/>
            </w:rPr>
            <w:t>员工权益保障</w:t>
          </w:r>
          <w:r>
            <w:tab/>
          </w:r>
          <w:r>
            <w:fldChar w:fldCharType="begin"/>
          </w:r>
          <w:r>
            <w:instrText xml:space="preserve"> PAGEREF _Toc47951679 \h </w:instrText>
          </w:r>
          <w:r>
            <w:fldChar w:fldCharType="separate"/>
          </w:r>
          <w:r>
            <w:t>14</w:t>
          </w:r>
          <w:r>
            <w:fldChar w:fldCharType="end"/>
          </w:r>
          <w:r>
            <w:fldChar w:fldCharType="end"/>
          </w:r>
        </w:p>
        <w:p w14:paraId="5AA25038">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"_Toc47951680" </w:instrText>
          </w:r>
          <w:r>
            <w:fldChar w:fldCharType="separate"/>
          </w:r>
          <w:r>
            <w:rPr>
              <w:rStyle w:val="26"/>
              <w:rFonts w:ascii="宋体" w:hAnsi="宋体"/>
            </w:rPr>
            <w:t>3.2.</w:t>
          </w:r>
          <w:r>
            <w:rPr>
              <w:rStyle w:val="26"/>
              <w:rFonts w:ascii="宋体" w:hAnsi="宋体"/>
            </w:rPr>
            <w:tab/>
          </w:r>
          <w:r>
            <w:rPr>
              <w:rStyle w:val="26"/>
              <w:rFonts w:hint="eastAsia" w:ascii="宋体" w:hAnsi="宋体"/>
            </w:rPr>
            <w:t>支持员工发展</w:t>
          </w:r>
          <w:r>
            <w:rPr>
              <w:rStyle w:val="26"/>
              <w:rFonts w:ascii="宋体" w:hAnsi="宋体"/>
            </w:rPr>
            <w:tab/>
          </w:r>
          <w:r>
            <w:rPr>
              <w:rStyle w:val="26"/>
              <w:rFonts w:ascii="宋体" w:hAnsi="宋体"/>
            </w:rPr>
            <w:fldChar w:fldCharType="begin"/>
          </w:r>
          <w:r>
            <w:rPr>
              <w:rStyle w:val="26"/>
              <w:rFonts w:ascii="宋体" w:hAnsi="宋体"/>
            </w:rPr>
            <w:instrText xml:space="preserve"> PAGEREF _Toc47951680 \h </w:instrText>
          </w:r>
          <w:r>
            <w:rPr>
              <w:rStyle w:val="26"/>
              <w:rFonts w:ascii="宋体" w:hAnsi="宋体"/>
            </w:rPr>
            <w:fldChar w:fldCharType="separate"/>
          </w:r>
          <w:r>
            <w:rPr>
              <w:rStyle w:val="26"/>
              <w:rFonts w:ascii="宋体" w:hAnsi="宋体"/>
            </w:rPr>
            <w:t>14</w:t>
          </w:r>
          <w:r>
            <w:rPr>
              <w:rStyle w:val="26"/>
              <w:rFonts w:ascii="宋体" w:hAnsi="宋体"/>
            </w:rPr>
            <w:fldChar w:fldCharType="end"/>
          </w:r>
          <w:r>
            <w:rPr>
              <w:rStyle w:val="26"/>
              <w:rFonts w:ascii="宋体" w:hAnsi="宋体"/>
            </w:rPr>
            <w:fldChar w:fldCharType="end"/>
          </w:r>
        </w:p>
        <w:p w14:paraId="1FEC49EA">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"_Toc47951681" </w:instrText>
          </w:r>
          <w:r>
            <w:fldChar w:fldCharType="separate"/>
          </w:r>
          <w:r>
            <w:rPr>
              <w:rStyle w:val="26"/>
              <w:rFonts w:ascii="宋体" w:hAnsi="宋体"/>
            </w:rPr>
            <w:t>3.3.</w:t>
          </w:r>
          <w:r>
            <w:rPr>
              <w:rStyle w:val="26"/>
              <w:rFonts w:ascii="宋体" w:hAnsi="宋体"/>
            </w:rPr>
            <w:tab/>
          </w:r>
          <w:r>
            <w:rPr>
              <w:rStyle w:val="26"/>
              <w:rFonts w:hint="eastAsia" w:ascii="宋体" w:hAnsi="宋体"/>
            </w:rPr>
            <w:t>员工职业健康安全保障</w:t>
          </w:r>
          <w:r>
            <w:rPr>
              <w:rStyle w:val="26"/>
              <w:rFonts w:ascii="宋体" w:hAnsi="宋体"/>
            </w:rPr>
            <w:tab/>
          </w:r>
          <w:r>
            <w:rPr>
              <w:rStyle w:val="26"/>
              <w:rFonts w:ascii="宋体" w:hAnsi="宋体"/>
            </w:rPr>
            <w:fldChar w:fldCharType="begin"/>
          </w:r>
          <w:r>
            <w:rPr>
              <w:rStyle w:val="26"/>
              <w:rFonts w:ascii="宋体" w:hAnsi="宋体"/>
            </w:rPr>
            <w:instrText xml:space="preserve"> PAGEREF _Toc47951681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14:paraId="46DC5A1E">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"_Toc47951682" </w:instrText>
          </w:r>
          <w:r>
            <w:fldChar w:fldCharType="separate"/>
          </w:r>
          <w:r>
            <w:rPr>
              <w:rStyle w:val="26"/>
              <w:rFonts w:ascii="宋体" w:hAnsi="宋体"/>
            </w:rPr>
            <w:t>3.4.</w:t>
          </w:r>
          <w:r>
            <w:rPr>
              <w:rStyle w:val="26"/>
              <w:rFonts w:ascii="宋体" w:hAnsi="宋体"/>
            </w:rPr>
            <w:tab/>
          </w:r>
          <w:r>
            <w:rPr>
              <w:rStyle w:val="26"/>
              <w:rFonts w:hint="eastAsia" w:ascii="宋体" w:hAnsi="宋体"/>
            </w:rPr>
            <w:t>推行员工关怀</w:t>
          </w:r>
          <w:r>
            <w:rPr>
              <w:rStyle w:val="26"/>
              <w:rFonts w:ascii="宋体" w:hAnsi="宋体"/>
            </w:rPr>
            <w:tab/>
          </w:r>
          <w:r>
            <w:rPr>
              <w:rStyle w:val="26"/>
              <w:rFonts w:ascii="宋体" w:hAnsi="宋体"/>
            </w:rPr>
            <w:fldChar w:fldCharType="begin"/>
          </w:r>
          <w:r>
            <w:rPr>
              <w:rStyle w:val="26"/>
              <w:rFonts w:ascii="宋体" w:hAnsi="宋体"/>
            </w:rPr>
            <w:instrText xml:space="preserve"> PAGEREF _Toc47951682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14:paraId="0E7A0F03">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"_Toc47951683" </w:instrText>
          </w:r>
          <w:r>
            <w:fldChar w:fldCharType="separate"/>
          </w:r>
          <w:r>
            <w:rPr>
              <w:rStyle w:val="26"/>
              <w:rFonts w:ascii="宋体" w:hAnsi="宋体"/>
            </w:rPr>
            <w:t>3.5.</w:t>
          </w:r>
          <w:r>
            <w:rPr>
              <w:rStyle w:val="26"/>
              <w:rFonts w:ascii="宋体" w:hAnsi="宋体"/>
            </w:rPr>
            <w:tab/>
          </w:r>
          <w:r>
            <w:rPr>
              <w:rStyle w:val="26"/>
              <w:rFonts w:hint="eastAsia" w:ascii="宋体" w:hAnsi="宋体"/>
            </w:rPr>
            <w:t>营造主动参与的良好氛围</w:t>
          </w:r>
          <w:r>
            <w:rPr>
              <w:rStyle w:val="26"/>
              <w:rFonts w:ascii="宋体" w:hAnsi="宋体"/>
            </w:rPr>
            <w:tab/>
          </w:r>
          <w:r>
            <w:rPr>
              <w:rStyle w:val="26"/>
              <w:rFonts w:ascii="宋体" w:hAnsi="宋体"/>
            </w:rPr>
            <w:fldChar w:fldCharType="begin"/>
          </w:r>
          <w:r>
            <w:rPr>
              <w:rStyle w:val="26"/>
              <w:rFonts w:ascii="宋体" w:hAnsi="宋体"/>
            </w:rPr>
            <w:instrText xml:space="preserve"> PAGEREF _Toc47951683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14:paraId="7B9E9EF5">
          <w:pPr>
            <w:pStyle w:val="8"/>
            <w:tabs>
              <w:tab w:val="left" w:pos="1260"/>
              <w:tab w:val="right" w:leader="dot" w:pos="8296"/>
            </w:tabs>
            <w:spacing w:after="0" w:line="240" w:lineRule="auto"/>
            <w:ind w:left="210" w:leftChars="100" w:firstLine="440" w:firstLineChars="200"/>
            <w:rPr>
              <w:rStyle w:val="26"/>
              <w:rFonts w:ascii="宋体" w:hAnsi="宋体"/>
            </w:rPr>
          </w:pPr>
          <w:r>
            <w:fldChar w:fldCharType="begin"/>
          </w:r>
          <w:r>
            <w:instrText xml:space="preserve"> HYPERLINK \l "_Toc47951684" </w:instrText>
          </w:r>
          <w:r>
            <w:fldChar w:fldCharType="separate"/>
          </w:r>
          <w:r>
            <w:rPr>
              <w:rStyle w:val="26"/>
              <w:rFonts w:ascii="宋体" w:hAnsi="宋体"/>
            </w:rPr>
            <w:t>3.6.</w:t>
          </w:r>
          <w:r>
            <w:rPr>
              <w:rStyle w:val="26"/>
              <w:rFonts w:ascii="宋体" w:hAnsi="宋体"/>
            </w:rPr>
            <w:tab/>
          </w:r>
          <w:r>
            <w:rPr>
              <w:rStyle w:val="26"/>
              <w:rFonts w:hint="eastAsia" w:ascii="宋体" w:hAnsi="宋体"/>
            </w:rPr>
            <w:t>员工满意程度测量</w:t>
          </w:r>
          <w:r>
            <w:rPr>
              <w:rStyle w:val="26"/>
              <w:rFonts w:ascii="宋体" w:hAnsi="宋体"/>
            </w:rPr>
            <w:tab/>
          </w:r>
          <w:r>
            <w:rPr>
              <w:rStyle w:val="26"/>
              <w:rFonts w:ascii="宋体" w:hAnsi="宋体"/>
            </w:rPr>
            <w:fldChar w:fldCharType="begin"/>
          </w:r>
          <w:r>
            <w:rPr>
              <w:rStyle w:val="26"/>
              <w:rFonts w:ascii="宋体" w:hAnsi="宋体"/>
            </w:rPr>
            <w:instrText xml:space="preserve"> PAGEREF _Toc47951684 \h </w:instrText>
          </w:r>
          <w:r>
            <w:rPr>
              <w:rStyle w:val="26"/>
              <w:rFonts w:ascii="宋体" w:hAnsi="宋体"/>
            </w:rPr>
            <w:fldChar w:fldCharType="separate"/>
          </w:r>
          <w:r>
            <w:rPr>
              <w:rStyle w:val="26"/>
              <w:rFonts w:ascii="宋体" w:hAnsi="宋体"/>
            </w:rPr>
            <w:t>15</w:t>
          </w:r>
          <w:r>
            <w:rPr>
              <w:rStyle w:val="26"/>
              <w:rFonts w:ascii="宋体" w:hAnsi="宋体"/>
            </w:rPr>
            <w:fldChar w:fldCharType="end"/>
          </w:r>
          <w:r>
            <w:rPr>
              <w:rStyle w:val="26"/>
              <w:rFonts w:ascii="宋体" w:hAnsi="宋体"/>
            </w:rPr>
            <w:fldChar w:fldCharType="end"/>
          </w:r>
        </w:p>
        <w:p w14:paraId="0F45180A">
          <w:pPr>
            <w:pStyle w:val="14"/>
            <w:tabs>
              <w:tab w:val="left" w:pos="840"/>
            </w:tabs>
            <w:rPr>
              <w:rFonts w:asciiTheme="minorHAnsi" w:hAnsiTheme="minorHAnsi" w:eastAsiaTheme="minorEastAsia" w:cstheme="minorBidi"/>
              <w:b w:val="0"/>
              <w:sz w:val="21"/>
            </w:rPr>
          </w:pPr>
          <w:r>
            <w:fldChar w:fldCharType="begin"/>
          </w:r>
          <w:r>
            <w:instrText xml:space="preserve"> HYPERLINK \l "_Toc47951685" </w:instrText>
          </w:r>
          <w:r>
            <w:fldChar w:fldCharType="separate"/>
          </w:r>
          <w:r>
            <w:rPr>
              <w:rStyle w:val="26"/>
            </w:rPr>
            <w:t>4.</w:t>
          </w:r>
          <w:r>
            <w:rPr>
              <w:rFonts w:asciiTheme="minorHAnsi" w:hAnsiTheme="minorHAnsi" w:eastAsiaTheme="minorEastAsia" w:cstheme="minorBidi"/>
              <w:b w:val="0"/>
              <w:sz w:val="21"/>
            </w:rPr>
            <w:tab/>
          </w:r>
          <w:r>
            <w:rPr>
              <w:rStyle w:val="26"/>
              <w:rFonts w:hint="eastAsia"/>
            </w:rPr>
            <w:t>捐赠和回馈社会</w:t>
          </w:r>
          <w:r>
            <w:tab/>
          </w:r>
          <w:r>
            <w:fldChar w:fldCharType="begin"/>
          </w:r>
          <w:r>
            <w:instrText xml:space="preserve"> PAGEREF _Toc47951685 \h </w:instrText>
          </w:r>
          <w:r>
            <w:fldChar w:fldCharType="separate"/>
          </w:r>
          <w:r>
            <w:t>16</w:t>
          </w:r>
          <w:r>
            <w:fldChar w:fldCharType="end"/>
          </w:r>
          <w:r>
            <w:fldChar w:fldCharType="end"/>
          </w:r>
        </w:p>
        <w:p w14:paraId="68B7F4FF">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"_Toc47951686" </w:instrText>
          </w:r>
          <w:r>
            <w:fldChar w:fldCharType="separate"/>
          </w:r>
          <w:r>
            <w:rPr>
              <w:rStyle w:val="26"/>
              <w:rFonts w:hint="eastAsia" w:ascii="宋体" w:hAnsi="宋体"/>
            </w:rPr>
            <w:t>十三.</w:t>
          </w:r>
          <w:r>
            <w:rPr>
              <w:rFonts w:asciiTheme="minorHAnsi" w:hAnsiTheme="minorHAnsi" w:eastAsiaTheme="minorEastAsia" w:cstheme="minorBidi"/>
              <w:b w:val="0"/>
              <w:bCs w:val="0"/>
              <w:caps w:val="0"/>
              <w:sz w:val="21"/>
              <w:szCs w:val="22"/>
            </w:rPr>
            <w:tab/>
          </w:r>
          <w:r>
            <w:rPr>
              <w:rStyle w:val="26"/>
              <w:rFonts w:hint="eastAsia" w:ascii="宋体" w:hAnsi="宋体"/>
            </w:rPr>
            <w:t>社会认可</w:t>
          </w:r>
          <w:r>
            <w:rPr>
              <w:rStyle w:val="26"/>
              <w:rFonts w:ascii="宋体" w:hAnsi="宋体"/>
            </w:rPr>
            <w:t xml:space="preserve"> </w:t>
          </w:r>
          <w:r>
            <w:tab/>
          </w:r>
          <w:r>
            <w:fldChar w:fldCharType="begin"/>
          </w:r>
          <w:r>
            <w:instrText xml:space="preserve"> PAGEREF _Toc47951686 \h </w:instrText>
          </w:r>
          <w:r>
            <w:fldChar w:fldCharType="separate"/>
          </w:r>
          <w:r>
            <w:t>17</w:t>
          </w:r>
          <w:r>
            <w:fldChar w:fldCharType="end"/>
          </w:r>
          <w:r>
            <w:fldChar w:fldCharType="end"/>
          </w:r>
        </w:p>
        <w:p w14:paraId="743ED1C5">
          <w:pPr>
            <w:pStyle w:val="13"/>
            <w:tabs>
              <w:tab w:val="left" w:pos="840"/>
              <w:tab w:val="right" w:leader="dot" w:pos="8296"/>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"_Toc47951687" </w:instrText>
          </w:r>
          <w:r>
            <w:fldChar w:fldCharType="separate"/>
          </w:r>
          <w:r>
            <w:rPr>
              <w:rStyle w:val="26"/>
              <w:rFonts w:hint="eastAsia" w:ascii="宋体" w:hAnsi="宋体"/>
            </w:rPr>
            <w:t>十四.</w:t>
          </w:r>
          <w:r>
            <w:rPr>
              <w:rFonts w:asciiTheme="minorHAnsi" w:hAnsiTheme="minorHAnsi" w:eastAsiaTheme="minorEastAsia" w:cstheme="minorBidi"/>
              <w:b w:val="0"/>
              <w:bCs w:val="0"/>
              <w:caps w:val="0"/>
              <w:sz w:val="21"/>
              <w:szCs w:val="22"/>
            </w:rPr>
            <w:tab/>
          </w:r>
          <w:r>
            <w:rPr>
              <w:rStyle w:val="26"/>
              <w:rFonts w:hint="eastAsia" w:ascii="宋体" w:hAnsi="宋体"/>
            </w:rPr>
            <w:t>发展战略</w:t>
          </w:r>
          <w:r>
            <w:rPr>
              <w:rStyle w:val="26"/>
              <w:rFonts w:ascii="宋体" w:hAnsi="宋体"/>
            </w:rPr>
            <w:t xml:space="preserve">  </w:t>
          </w:r>
          <w:r>
            <w:tab/>
          </w:r>
          <w:r>
            <w:fldChar w:fldCharType="begin"/>
          </w:r>
          <w:r>
            <w:instrText xml:space="preserve"> PAGEREF _Toc47951687 \h </w:instrText>
          </w:r>
          <w:r>
            <w:fldChar w:fldCharType="separate"/>
          </w:r>
          <w:r>
            <w:t>18</w:t>
          </w:r>
          <w:r>
            <w:fldChar w:fldCharType="end"/>
          </w:r>
          <w:r>
            <w:fldChar w:fldCharType="end"/>
          </w:r>
        </w:p>
        <w:p w14:paraId="29026B6D">
          <w:pPr>
            <w:pStyle w:val="14"/>
            <w:tabs>
              <w:tab w:val="left" w:pos="840"/>
            </w:tabs>
            <w:rPr>
              <w:rFonts w:asciiTheme="minorHAnsi" w:hAnsiTheme="minorHAnsi" w:eastAsiaTheme="minorEastAsia" w:cstheme="minorBidi"/>
              <w:b w:val="0"/>
              <w:sz w:val="21"/>
            </w:rPr>
          </w:pPr>
          <w:r>
            <w:fldChar w:fldCharType="begin"/>
          </w:r>
          <w:r>
            <w:instrText xml:space="preserve"> HYPERLINK \l "_Toc47951688" </w:instrText>
          </w:r>
          <w:r>
            <w:fldChar w:fldCharType="separate"/>
          </w:r>
          <w:r>
            <w:rPr>
              <w:rStyle w:val="26"/>
            </w:rPr>
            <w:t>1.</w:t>
          </w:r>
          <w:r>
            <w:rPr>
              <w:rFonts w:asciiTheme="minorHAnsi" w:hAnsiTheme="minorHAnsi" w:eastAsiaTheme="minorEastAsia" w:cstheme="minorBidi"/>
              <w:b w:val="0"/>
              <w:sz w:val="21"/>
            </w:rPr>
            <w:tab/>
          </w:r>
          <w:r>
            <w:rPr>
              <w:rStyle w:val="26"/>
              <w:rFonts w:hint="eastAsia"/>
            </w:rPr>
            <w:t>战略定位及发展方向</w:t>
          </w:r>
          <w:r>
            <w:tab/>
          </w:r>
          <w:r>
            <w:fldChar w:fldCharType="begin"/>
          </w:r>
          <w:r>
            <w:instrText xml:space="preserve"> PAGEREF _Toc47951688 \h </w:instrText>
          </w:r>
          <w:r>
            <w:fldChar w:fldCharType="separate"/>
          </w:r>
          <w:r>
            <w:t>18</w:t>
          </w:r>
          <w:r>
            <w:fldChar w:fldCharType="end"/>
          </w:r>
          <w:r>
            <w:fldChar w:fldCharType="end"/>
          </w:r>
        </w:p>
        <w:p w14:paraId="5CE00DFC">
          <w:pPr>
            <w:pStyle w:val="14"/>
            <w:tabs>
              <w:tab w:val="left" w:pos="840"/>
            </w:tabs>
            <w:rPr>
              <w:rFonts w:asciiTheme="minorHAnsi" w:hAnsiTheme="minorHAnsi" w:eastAsiaTheme="minorEastAsia" w:cstheme="minorBidi"/>
              <w:b w:val="0"/>
              <w:sz w:val="21"/>
            </w:rPr>
          </w:pPr>
          <w:r>
            <w:fldChar w:fldCharType="begin"/>
          </w:r>
          <w:r>
            <w:instrText xml:space="preserve"> HYPERLINK \l "_Toc47951689" </w:instrText>
          </w:r>
          <w:r>
            <w:fldChar w:fldCharType="separate"/>
          </w:r>
          <w:r>
            <w:rPr>
              <w:rStyle w:val="26"/>
            </w:rPr>
            <w:t>2.</w:t>
          </w:r>
          <w:r>
            <w:rPr>
              <w:rFonts w:asciiTheme="minorHAnsi" w:hAnsiTheme="minorHAnsi" w:eastAsiaTheme="minorEastAsia" w:cstheme="minorBidi"/>
              <w:b w:val="0"/>
              <w:sz w:val="21"/>
            </w:rPr>
            <w:tab/>
          </w:r>
          <w:r>
            <w:rPr>
              <w:rStyle w:val="26"/>
              <w:rFonts w:hint="eastAsia"/>
            </w:rPr>
            <w:t>展望未来</w:t>
          </w:r>
          <w:r>
            <w:tab/>
          </w:r>
          <w:r>
            <w:fldChar w:fldCharType="begin"/>
          </w:r>
          <w:r>
            <w:instrText xml:space="preserve"> PAGEREF _Toc47951689 \h </w:instrText>
          </w:r>
          <w:r>
            <w:fldChar w:fldCharType="separate"/>
          </w:r>
          <w:r>
            <w:t>18</w:t>
          </w:r>
          <w:r>
            <w:fldChar w:fldCharType="end"/>
          </w:r>
          <w:r>
            <w:fldChar w:fldCharType="end"/>
          </w:r>
        </w:p>
        <w:p w14:paraId="1A857123">
          <w:r>
            <w:rPr>
              <w:b/>
              <w:bCs/>
              <w:lang w:val="zh-CN"/>
            </w:rPr>
            <w:fldChar w:fldCharType="end"/>
          </w:r>
        </w:p>
      </w:sdtContent>
    </w:sdt>
    <w:p w14:paraId="0C521779">
      <w:pPr>
        <w:widowControl/>
        <w:jc w:val="left"/>
        <w:rPr>
          <w:rFonts w:ascii="楷体" w:hAnsi="楷体" w:eastAsia="楷体" w:cs="楷体"/>
          <w:sz w:val="32"/>
          <w:szCs w:val="32"/>
        </w:rPr>
      </w:pPr>
      <w:r>
        <w:rPr>
          <w:rFonts w:ascii="楷体" w:hAnsi="楷体" w:eastAsia="楷体" w:cs="楷体"/>
          <w:sz w:val="32"/>
          <w:szCs w:val="32"/>
        </w:rPr>
        <w:br w:type="page"/>
      </w:r>
    </w:p>
    <w:p w14:paraId="445B2292">
      <w:pPr>
        <w:pStyle w:val="2"/>
        <w:spacing w:before="0" w:after="0" w:line="300" w:lineRule="auto"/>
        <w:jc w:val="center"/>
        <w:rPr>
          <w:rFonts w:ascii="宋体" w:hAnsi="宋体"/>
          <w:sz w:val="32"/>
          <w:szCs w:val="32"/>
        </w:rPr>
      </w:pPr>
      <w:bookmarkStart w:id="0" w:name="_Toc47951653"/>
      <w:bookmarkStart w:id="1" w:name="_Toc47622021"/>
      <w:bookmarkStart w:id="2" w:name="_Toc47687462"/>
      <w:r>
        <w:rPr>
          <w:rFonts w:hint="eastAsia" w:ascii="宋体" w:hAnsi="宋体"/>
          <w:sz w:val="32"/>
          <w:szCs w:val="32"/>
        </w:rPr>
        <w:t>郑重声明</w:t>
      </w:r>
      <w:bookmarkEnd w:id="0"/>
      <w:bookmarkEnd w:id="1"/>
      <w:bookmarkEnd w:id="2"/>
    </w:p>
    <w:p w14:paraId="774A1BEB">
      <w:pPr>
        <w:spacing w:line="300" w:lineRule="auto"/>
        <w:ind w:firstLine="480" w:firstLineChars="200"/>
        <w:rPr>
          <w:rFonts w:ascii="宋体" w:hAnsi="宋体"/>
          <w:sz w:val="24"/>
          <w:szCs w:val="24"/>
        </w:rPr>
      </w:pPr>
    </w:p>
    <w:p w14:paraId="711E0140">
      <w:pPr>
        <w:spacing w:line="300" w:lineRule="auto"/>
        <w:ind w:firstLine="480" w:firstLineChars="200"/>
        <w:rPr>
          <w:rFonts w:ascii="宋体" w:hAnsi="宋体"/>
          <w:sz w:val="24"/>
          <w:szCs w:val="24"/>
        </w:rPr>
      </w:pPr>
      <w:r>
        <w:rPr>
          <w:rFonts w:hint="eastAsia" w:ascii="宋体" w:hAnsi="宋体"/>
          <w:sz w:val="24"/>
          <w:szCs w:val="24"/>
        </w:rPr>
        <w:t>本公司出具的社会责任报告，是依据国家有关法律法规及相关国家标准进行编写。报告中关于企业社会责任内容、管理情况等是公司现状的真实反映。本公司对报告内容的真实性及相关论证的科学性负责。</w:t>
      </w:r>
    </w:p>
    <w:p w14:paraId="2722F042">
      <w:pPr>
        <w:spacing w:line="300" w:lineRule="auto"/>
        <w:jc w:val="right"/>
        <w:rPr>
          <w:rFonts w:ascii="宋体" w:hAnsi="宋体"/>
          <w:sz w:val="24"/>
          <w:szCs w:val="24"/>
        </w:rPr>
      </w:pPr>
    </w:p>
    <w:p w14:paraId="0267DF22">
      <w:pPr>
        <w:spacing w:line="300" w:lineRule="auto"/>
        <w:jc w:val="right"/>
        <w:rPr>
          <w:rFonts w:ascii="宋体" w:hAnsi="宋体"/>
          <w:sz w:val="24"/>
          <w:szCs w:val="24"/>
        </w:rPr>
      </w:pPr>
      <w:r>
        <w:rPr>
          <w:rFonts w:hint="eastAsia" w:ascii="宋体" w:hAnsi="宋体"/>
          <w:sz w:val="24"/>
          <w:szCs w:val="24"/>
        </w:rPr>
        <w:t>三思永恒科技（浙江）有限公司</w:t>
      </w:r>
    </w:p>
    <w:p w14:paraId="65E7D5F2">
      <w:pPr>
        <w:rPr>
          <w:rFonts w:ascii="宋体" w:hAnsi="宋体"/>
          <w:sz w:val="24"/>
          <w:szCs w:val="24"/>
        </w:rPr>
      </w:pPr>
    </w:p>
    <w:p w14:paraId="0A078068">
      <w:pPr>
        <w:rPr>
          <w:rFonts w:ascii="宋体" w:hAnsi="宋体"/>
          <w:sz w:val="24"/>
          <w:szCs w:val="24"/>
        </w:rPr>
      </w:pPr>
    </w:p>
    <w:p w14:paraId="5CD5D7F1">
      <w:pPr>
        <w:rPr>
          <w:rFonts w:ascii="宋体" w:hAnsi="宋体"/>
          <w:sz w:val="24"/>
          <w:szCs w:val="24"/>
        </w:rPr>
      </w:pPr>
    </w:p>
    <w:p w14:paraId="12CA214E">
      <w:pPr>
        <w:rPr>
          <w:rFonts w:ascii="宋体" w:hAnsi="宋体"/>
          <w:sz w:val="24"/>
          <w:szCs w:val="24"/>
        </w:rPr>
      </w:pPr>
    </w:p>
    <w:p w14:paraId="6F6C5E43">
      <w:pPr>
        <w:rPr>
          <w:rFonts w:ascii="宋体" w:hAnsi="宋体"/>
          <w:sz w:val="24"/>
          <w:szCs w:val="24"/>
        </w:rPr>
      </w:pPr>
    </w:p>
    <w:p w14:paraId="2B6921A2">
      <w:pPr>
        <w:rPr>
          <w:rFonts w:ascii="宋体" w:hAnsi="宋体"/>
          <w:sz w:val="24"/>
          <w:szCs w:val="24"/>
        </w:rPr>
      </w:pPr>
    </w:p>
    <w:p w14:paraId="7B3C0FE7">
      <w:pPr>
        <w:spacing w:line="300" w:lineRule="auto"/>
        <w:ind w:firstLine="480" w:firstLineChars="200"/>
        <w:rPr>
          <w:rFonts w:ascii="宋体" w:hAnsi="宋体"/>
          <w:sz w:val="24"/>
          <w:szCs w:val="24"/>
        </w:rPr>
      </w:pPr>
      <w:r>
        <w:rPr>
          <w:rFonts w:hint="eastAsia" w:ascii="宋体" w:hAnsi="宋体"/>
          <w:sz w:val="24"/>
          <w:szCs w:val="24"/>
        </w:rPr>
        <w:t>组织范围：三思永恒科技（浙江）有限公司</w:t>
      </w:r>
    </w:p>
    <w:p w14:paraId="4A3AF8C5">
      <w:pPr>
        <w:spacing w:line="300" w:lineRule="auto"/>
        <w:ind w:firstLine="480" w:firstLineChars="200"/>
        <w:rPr>
          <w:rFonts w:ascii="宋体" w:hAnsi="宋体"/>
          <w:sz w:val="24"/>
          <w:szCs w:val="24"/>
        </w:rPr>
      </w:pPr>
      <w:r>
        <w:rPr>
          <w:rFonts w:hint="eastAsia" w:ascii="宋体" w:hAnsi="宋体"/>
          <w:sz w:val="24"/>
          <w:szCs w:val="24"/>
        </w:rPr>
        <w:t>报告时间：</w:t>
      </w:r>
      <w:r>
        <w:rPr>
          <w:rFonts w:ascii="宋体" w:hAnsi="宋体"/>
          <w:sz w:val="24"/>
          <w:szCs w:val="24"/>
        </w:rPr>
        <w:t>202</w:t>
      </w:r>
      <w:r>
        <w:rPr>
          <w:rFonts w:hint="eastAsia" w:ascii="宋体" w:hAnsi="宋体"/>
          <w:sz w:val="24"/>
          <w:szCs w:val="24"/>
          <w:lang w:val="en-US" w:eastAsia="zh-CN"/>
        </w:rPr>
        <w:t>4</w:t>
      </w:r>
      <w:r>
        <w:rPr>
          <w:rFonts w:ascii="宋体" w:hAnsi="宋体"/>
          <w:sz w:val="24"/>
          <w:szCs w:val="24"/>
        </w:rPr>
        <w:t>年8月</w:t>
      </w:r>
    </w:p>
    <w:p w14:paraId="53666E1D">
      <w:pPr>
        <w:spacing w:line="300" w:lineRule="auto"/>
        <w:ind w:firstLine="480" w:firstLineChars="200"/>
        <w:rPr>
          <w:rFonts w:ascii="宋体" w:hAnsi="宋体"/>
          <w:sz w:val="24"/>
          <w:szCs w:val="24"/>
        </w:rPr>
      </w:pPr>
      <w:r>
        <w:rPr>
          <w:rFonts w:hint="eastAsia" w:ascii="宋体" w:hAnsi="宋体"/>
          <w:sz w:val="24"/>
          <w:szCs w:val="24"/>
        </w:rPr>
        <w:t>发布周期：一年</w:t>
      </w:r>
    </w:p>
    <w:p w14:paraId="1B9B327E">
      <w:pPr>
        <w:spacing w:line="300" w:lineRule="auto"/>
        <w:ind w:firstLine="480" w:firstLineChars="200"/>
        <w:jc w:val="left"/>
        <w:rPr>
          <w:rFonts w:ascii="宋体" w:hAnsi="宋体"/>
          <w:sz w:val="24"/>
          <w:szCs w:val="24"/>
        </w:rPr>
      </w:pPr>
      <w:r>
        <w:rPr>
          <w:rFonts w:hint="eastAsia" w:ascii="宋体" w:hAnsi="宋体"/>
          <w:sz w:val="24"/>
          <w:szCs w:val="24"/>
        </w:rPr>
        <w:t>报告获取方式：三思永恒科技（浙江）有限公司官网（</w:t>
      </w:r>
      <w:r>
        <w:rPr>
          <w:rFonts w:ascii="宋体" w:hAnsi="宋体" w:cs="宋体"/>
          <w:sz w:val="24"/>
          <w:szCs w:val="24"/>
        </w:rPr>
        <w:t>https://www.sansi-test.com/</w:t>
      </w:r>
      <w:r>
        <w:rPr>
          <w:rFonts w:ascii="宋体" w:hAnsi="宋体"/>
          <w:sz w:val="24"/>
          <w:szCs w:val="24"/>
        </w:rPr>
        <w:t xml:space="preserve">）                                              </w:t>
      </w:r>
    </w:p>
    <w:p w14:paraId="2BECCB17">
      <w:pPr>
        <w:spacing w:line="300" w:lineRule="auto"/>
        <w:ind w:firstLine="480" w:firstLineChars="200"/>
        <w:rPr>
          <w:rFonts w:ascii="宋体" w:hAnsi="宋体"/>
          <w:sz w:val="24"/>
          <w:szCs w:val="24"/>
        </w:rPr>
      </w:pPr>
    </w:p>
    <w:p w14:paraId="3637F77D">
      <w:pPr>
        <w:rPr>
          <w:rFonts w:ascii="宋体" w:hAnsi="宋体"/>
          <w:sz w:val="24"/>
          <w:szCs w:val="24"/>
        </w:rPr>
      </w:pPr>
      <w:r>
        <w:rPr>
          <w:rFonts w:ascii="宋体" w:hAnsi="宋体"/>
          <w:sz w:val="24"/>
          <w:szCs w:val="24"/>
        </w:rPr>
        <w:tab/>
      </w:r>
    </w:p>
    <w:p w14:paraId="1C1E50DA">
      <w:pPr>
        <w:rPr>
          <w:rFonts w:ascii="宋体" w:hAnsi="宋体"/>
          <w:sz w:val="24"/>
          <w:szCs w:val="24"/>
        </w:rPr>
      </w:pPr>
      <w:r>
        <w:rPr>
          <w:rFonts w:ascii="宋体" w:hAnsi="宋体"/>
          <w:sz w:val="24"/>
          <w:szCs w:val="24"/>
        </w:rPr>
        <w:t xml:space="preserve"> </w:t>
      </w:r>
    </w:p>
    <w:p w14:paraId="521077E3">
      <w:pPr>
        <w:widowControl/>
        <w:jc w:val="left"/>
        <w:rPr>
          <w:rFonts w:ascii="宋体" w:hAnsi="宋体"/>
          <w:sz w:val="24"/>
          <w:szCs w:val="24"/>
        </w:rPr>
      </w:pPr>
      <w:r>
        <w:rPr>
          <w:rFonts w:ascii="宋体" w:hAnsi="宋体"/>
          <w:sz w:val="24"/>
          <w:szCs w:val="24"/>
        </w:rPr>
        <w:br w:type="page"/>
      </w:r>
      <w:bookmarkStart w:id="66" w:name="_GoBack"/>
      <w:bookmarkEnd w:id="66"/>
    </w:p>
    <w:p w14:paraId="5CD41E3F">
      <w:pPr>
        <w:pStyle w:val="2"/>
        <w:spacing w:before="0" w:after="0" w:line="300" w:lineRule="auto"/>
        <w:jc w:val="center"/>
        <w:rPr>
          <w:rFonts w:ascii="宋体" w:hAnsi="宋体"/>
          <w:sz w:val="32"/>
          <w:szCs w:val="32"/>
        </w:rPr>
      </w:pPr>
      <w:bookmarkStart w:id="3" w:name="_Toc47951654"/>
      <w:bookmarkStart w:id="4" w:name="_Toc8221276"/>
      <w:r>
        <w:rPr>
          <w:rFonts w:hint="eastAsia" w:ascii="宋体" w:hAnsi="宋体"/>
          <w:sz w:val="32"/>
          <w:szCs w:val="32"/>
        </w:rPr>
        <w:t>管理者致辞</w:t>
      </w:r>
      <w:bookmarkEnd w:id="3"/>
      <w:bookmarkEnd w:id="4"/>
    </w:p>
    <w:p w14:paraId="50994E79">
      <w:pPr>
        <w:spacing w:line="300" w:lineRule="auto"/>
        <w:ind w:firstLine="480" w:firstLineChars="200"/>
        <w:rPr>
          <w:rFonts w:ascii="宋体" w:hAnsi="宋体"/>
          <w:sz w:val="24"/>
          <w:szCs w:val="24"/>
        </w:rPr>
      </w:pPr>
    </w:p>
    <w:p w14:paraId="24644DE7">
      <w:pPr>
        <w:spacing w:line="300" w:lineRule="auto"/>
        <w:ind w:firstLine="480" w:firstLineChars="200"/>
        <w:rPr>
          <w:rFonts w:ascii="宋体" w:hAnsi="宋体"/>
          <w:sz w:val="24"/>
          <w:szCs w:val="24"/>
        </w:rPr>
      </w:pPr>
      <w:r>
        <w:rPr>
          <w:rFonts w:hint="eastAsia" w:ascii="宋体" w:hAnsi="宋体"/>
          <w:sz w:val="24"/>
          <w:szCs w:val="24"/>
        </w:rPr>
        <w:t>欢迎了解三思永恒科技（浙江）有限公司，感谢您对我们的关注和支持！</w:t>
      </w:r>
    </w:p>
    <w:p w14:paraId="370D5782">
      <w:pPr>
        <w:spacing w:line="300" w:lineRule="auto"/>
        <w:ind w:firstLine="480" w:firstLineChars="200"/>
        <w:rPr>
          <w:rFonts w:ascii="宋体" w:hAnsi="宋体"/>
          <w:sz w:val="24"/>
          <w:szCs w:val="24"/>
        </w:rPr>
      </w:pPr>
      <w:r>
        <w:rPr>
          <w:rFonts w:hint="eastAsia" w:ascii="宋体" w:hAnsi="宋体"/>
          <w:sz w:val="24"/>
          <w:szCs w:val="24"/>
        </w:rPr>
        <w:t>承蒙社会各界的支持和厚爱， 三思永恒科技（浙江）有限公司走过了不平凡的创业发展历程，获得了业界的认同和社会的肯定。这得益于地区各级政府及社会各界的大力支持，得益于合作伙伴的大力支持，得益于公司员工锲而不舍的敬业精神和对事业孜孜不倦的追求与不懈的奋斗。</w:t>
      </w:r>
    </w:p>
    <w:p w14:paraId="15E2DFBC">
      <w:pPr>
        <w:spacing w:line="300" w:lineRule="auto"/>
        <w:ind w:firstLine="480" w:firstLineChars="200"/>
        <w:rPr>
          <w:rFonts w:ascii="宋体" w:hAnsi="宋体"/>
          <w:sz w:val="24"/>
          <w:szCs w:val="24"/>
        </w:rPr>
      </w:pPr>
      <w:r>
        <w:rPr>
          <w:rFonts w:hint="eastAsia" w:ascii="宋体" w:hAnsi="宋体"/>
          <w:sz w:val="24"/>
          <w:szCs w:val="24"/>
        </w:rPr>
        <w:t>公司自成立以来，伴随着中国经济的快速发展，经历了改革和创新的洗礼，不断走向成熟。并培育了具有三思永恒特色的企业文化，确立了公司的使命、愿景和价值观。</w:t>
      </w:r>
    </w:p>
    <w:p w14:paraId="3BADEA0B">
      <w:pPr>
        <w:spacing w:line="300" w:lineRule="auto"/>
        <w:ind w:firstLine="480" w:firstLineChars="200"/>
        <w:rPr>
          <w:rFonts w:ascii="宋体" w:hAnsi="宋体"/>
          <w:sz w:val="24"/>
          <w:szCs w:val="24"/>
        </w:rPr>
      </w:pPr>
      <w:r>
        <w:rPr>
          <w:rFonts w:hint="eastAsia" w:ascii="宋体" w:hAnsi="宋体"/>
          <w:sz w:val="24"/>
          <w:szCs w:val="24"/>
        </w:rPr>
        <w:t>公司恪守道德规范，模范遵守国家法律法规，高标准履行经营、环境、安全和质量责任，科学发展生产，满足社会需求。通过技术创新，改造传统生产方式，提高企业运行效率；重视保护生态环境，实现节能减排和清洁生产，积极研发新技术，为消费者提供安全、健康、环保的产品。</w:t>
      </w:r>
    </w:p>
    <w:p w14:paraId="19F86B0F">
      <w:pPr>
        <w:spacing w:line="300" w:lineRule="auto"/>
        <w:ind w:firstLine="480" w:firstLineChars="200"/>
        <w:rPr>
          <w:rFonts w:ascii="宋体" w:hAnsi="宋体"/>
          <w:sz w:val="24"/>
          <w:szCs w:val="24"/>
        </w:rPr>
      </w:pPr>
      <w:r>
        <w:rPr>
          <w:rFonts w:hint="eastAsia" w:ascii="宋体" w:hAnsi="宋体"/>
          <w:sz w:val="24"/>
          <w:szCs w:val="24"/>
        </w:rPr>
        <w:t>我们希望更多的群体能够认同三思永恒的文化和价值观，为构建和谐社会共同努力！</w:t>
      </w:r>
    </w:p>
    <w:p w14:paraId="6A2FE7BA">
      <w:pPr>
        <w:spacing w:line="300" w:lineRule="auto"/>
        <w:ind w:firstLine="480" w:firstLineChars="200"/>
        <w:rPr>
          <w:rFonts w:ascii="宋体" w:hAnsi="宋体"/>
          <w:sz w:val="24"/>
          <w:szCs w:val="24"/>
        </w:rPr>
      </w:pPr>
    </w:p>
    <w:p w14:paraId="4AD9BD23">
      <w:pPr>
        <w:spacing w:line="300" w:lineRule="auto"/>
        <w:jc w:val="center"/>
        <w:rPr>
          <w:rFonts w:ascii="宋体" w:hAnsi="宋体"/>
          <w:sz w:val="24"/>
          <w:szCs w:val="24"/>
        </w:rPr>
      </w:pPr>
    </w:p>
    <w:p w14:paraId="1E39B724">
      <w:pPr>
        <w:spacing w:line="300" w:lineRule="auto"/>
        <w:jc w:val="center"/>
        <w:rPr>
          <w:rFonts w:ascii="宋体" w:hAnsi="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3434080</wp:posOffset>
                </wp:positionH>
                <wp:positionV relativeFrom="paragraph">
                  <wp:posOffset>15875</wp:posOffset>
                </wp:positionV>
                <wp:extent cx="1374775" cy="854075"/>
                <wp:effectExtent l="0" t="0" r="9525" b="9525"/>
                <wp:wrapNone/>
                <wp:docPr id="1" name="文本框 1"/>
                <wp:cNvGraphicFramePr/>
                <a:graphic xmlns:a="http://schemas.openxmlformats.org/drawingml/2006/main">
                  <a:graphicData uri="http://schemas.microsoft.com/office/word/2010/wordprocessingShape">
                    <wps:wsp>
                      <wps:cNvSpPr txBox="1"/>
                      <wps:spPr>
                        <a:xfrm>
                          <a:off x="0" y="0"/>
                          <a:ext cx="1374775" cy="854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A24F1DB">
                            <w:r>
                              <w:rPr>
                                <w:rFonts w:cs="微软雅黑" w:asciiTheme="minorEastAsia" w:hAnsiTheme="minorEastAsia"/>
                                <w:color w:val="FF0000"/>
                                <w:sz w:val="24"/>
                                <w:szCs w:val="24"/>
                              </w:rPr>
                              <w:drawing>
                                <wp:inline distT="0" distB="0" distL="0" distR="0">
                                  <wp:extent cx="990600" cy="612775"/>
                                  <wp:effectExtent l="0" t="0" r="0" b="0"/>
                                  <wp:docPr id="17289264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6441"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17969" cy="630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4pt;margin-top:1.25pt;height:67.25pt;width:108.25pt;z-index:251659264;mso-width-relative:page;mso-height-relative:page;" fillcolor="#FFFFFF [3201]" filled="t" stroked="f" coordsize="21600,21600" o:gfxdata="UEsDBAoAAAAAAIdO4kAAAAAAAAAAAAAAAAAEAAAAZHJzL1BLAwQUAAAACACHTuJAfuF+w9QAAAAJ&#10;AQAADwAAAGRycy9kb3ducmV2LnhtbE2PS0/DMBCE70j8B2uRuFE7bUNQiNMDElck+jq78RJH2Oso&#10;dp+/nuUEx9GMZr5pVpfgxQmnNETSUMwUCKQu2oF6DdvN+9MLiJQNWeMjoYYrJli193eNqW080yee&#10;1rkXXEKpNhpczmMtZeocBpNmcURi7ytOwWSWUy/tZM5cHrycK/UsgxmIF5wZ8c1h970+Bg37Ptz2&#10;u2KcnA1+SR+362YbB60fHwr1CiLjJf+F4Ref0aFlpkM8kk3CayiXitGzhnkJgv2qrBYgDhxcVApk&#10;28j/D9ofUEsDBBQAAAAIAIdO4kDIIhXmTQIAAI8EAAAOAAAAZHJzL2Uyb0RvYy54bWytVMFuEzEQ&#10;vSPxD5bvdJM2aUrUTRUSBSFVtFJBnB2vnbVke4ztZLd8APwBJy7c+a58B2PvNg2FQw/k4Iw94zd+&#10;b2b28qo1muyEDwpsSYcnA0qE5VApuynpxw+rVxeUhMhsxTRYUdJ7EejV7OWLy8ZNxSnUoCvhCYLY&#10;MG1cSesY3bQoAq+FYeEEnLDolOANi7j1m6LyrEF0o4vTweC8aMBXzgMXIeDpsnPSHtE/BxCkVFws&#10;gW+NsLFD9UKziJRCrVygs/xaKQWPN1IGEYkuKTKNecUkaK/TWswu2XTjmasV75/AnvOEJ5wMUxaT&#10;HqCWLDKy9eovKKO4hwAynnAwRUckK4IshoMn2tzVzInMBaUO7iB6+H+w/P3u1hNVYSdQYpnBgu+/&#10;f9v/+LX/+ZUMkzyNC1OMunMYF9s30KbQ/jzgYWLdSm/SP/Ih6Edx7w/iijYSni6dTUaTyZgSjr6L&#10;8WiANsIUj7edD/GtAEOSUVKPxcuast11iF3oQ0hKFkCraqW0zhu/WS+0JzuGhV7lX4/+R5i2pCnp&#10;+dl4kJEtpPsdtLb4mES2I5Ws2K7bnukaqnsUwEPXQcHxlcJXXrMQb5nHlkHOOFTxBhepAZNAb1FS&#10;g//yr/MUj5VELyUNtmBJw+ct84IS/c5ijV8PR6PUs3kzGk9OceOPPetjj92aBSB5rCO+LpspPuoH&#10;U3own3D25ikrupjlmLuk8cFcxG4wcHa5mM9zEHapY/Ha3jmeoJPUFubbCFLlkiSZOm169bBPc1H7&#10;mUqDcLzPUY/fkd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uF+w9QAAAAJAQAADwAAAAAAAAAB&#10;ACAAAAAiAAAAZHJzL2Rvd25yZXYueG1sUEsBAhQAFAAAAAgAh07iQMgiFeZNAgAAjwQAAA4AAAAA&#10;AAAAAQAgAAAAIwEAAGRycy9lMm9Eb2MueG1sUEsFBgAAAAAGAAYAWQEAAOIFAAAAAA==&#10;">
                <v:fill on="t" focussize="0,0"/>
                <v:stroke on="f" weight="0.5pt"/>
                <v:imagedata o:title=""/>
                <o:lock v:ext="edit" aspectratio="f"/>
                <v:textbox>
                  <w:txbxContent>
                    <w:p w14:paraId="4A24F1DB">
                      <w:r>
                        <w:rPr>
                          <w:rFonts w:cs="微软雅黑" w:asciiTheme="minorEastAsia" w:hAnsiTheme="minorEastAsia"/>
                          <w:color w:val="FF0000"/>
                          <w:sz w:val="24"/>
                          <w:szCs w:val="24"/>
                        </w:rPr>
                        <w:drawing>
                          <wp:inline distT="0" distB="0" distL="0" distR="0">
                            <wp:extent cx="990600" cy="612775"/>
                            <wp:effectExtent l="0" t="0" r="0" b="0"/>
                            <wp:docPr id="17289264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6441"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17969" cy="630273"/>
                                    </a:xfrm>
                                    <a:prstGeom prst="rect">
                                      <a:avLst/>
                                    </a:prstGeom>
                                    <a:noFill/>
                                    <a:ln>
                                      <a:noFill/>
                                    </a:ln>
                                  </pic:spPr>
                                </pic:pic>
                              </a:graphicData>
                            </a:graphic>
                          </wp:inline>
                        </w:drawing>
                      </w:r>
                    </w:p>
                  </w:txbxContent>
                </v:textbox>
              </v:shape>
            </w:pict>
          </mc:Fallback>
        </mc:AlternateContent>
      </w:r>
    </w:p>
    <w:p w14:paraId="2733A83C">
      <w:pPr>
        <w:spacing w:line="300" w:lineRule="auto"/>
        <w:jc w:val="center"/>
        <w:rPr>
          <w:rFonts w:ascii="宋体" w:hAnsi="宋体"/>
          <w:sz w:val="24"/>
          <w:szCs w:val="24"/>
        </w:rPr>
      </w:pPr>
      <w:r>
        <w:rPr>
          <w:rFonts w:hint="eastAsia" w:ascii="宋体" w:hAnsi="宋体"/>
          <w:sz w:val="24"/>
          <w:szCs w:val="24"/>
        </w:rPr>
        <w:t>总经理（签名）：</w:t>
      </w:r>
    </w:p>
    <w:p w14:paraId="03C9DC91">
      <w:pPr>
        <w:widowControl/>
        <w:jc w:val="left"/>
        <w:rPr>
          <w:rFonts w:ascii="微软雅黑" w:hAnsi="微软雅黑" w:eastAsia="微软雅黑"/>
          <w:b/>
          <w:bCs/>
          <w:sz w:val="24"/>
          <w:szCs w:val="24"/>
        </w:rPr>
      </w:pPr>
      <w:bookmarkStart w:id="5" w:name="_Toc8221277"/>
      <w:r>
        <w:rPr>
          <w:rFonts w:ascii="微软雅黑" w:hAnsi="微软雅黑" w:eastAsia="微软雅黑"/>
          <w:b/>
          <w:bCs/>
          <w:sz w:val="24"/>
          <w:szCs w:val="24"/>
        </w:rPr>
        <w:br w:type="page"/>
      </w:r>
    </w:p>
    <w:p w14:paraId="721F6730">
      <w:pPr>
        <w:pStyle w:val="2"/>
        <w:numPr>
          <w:ilvl w:val="0"/>
          <w:numId w:val="1"/>
        </w:numPr>
        <w:tabs>
          <w:tab w:val="left" w:pos="567"/>
        </w:tabs>
        <w:spacing w:before="0" w:after="0" w:line="300" w:lineRule="auto"/>
        <w:ind w:left="0" w:firstLine="0"/>
        <w:jc w:val="left"/>
        <w:rPr>
          <w:rFonts w:ascii="宋体" w:hAnsi="宋体"/>
          <w:sz w:val="32"/>
          <w:szCs w:val="32"/>
        </w:rPr>
      </w:pPr>
      <w:bookmarkStart w:id="6" w:name="_Toc47951655"/>
      <w:r>
        <w:rPr>
          <w:rFonts w:hint="eastAsia" w:ascii="宋体" w:hAnsi="宋体"/>
          <w:sz w:val="32"/>
          <w:szCs w:val="32"/>
        </w:rPr>
        <w:t>公司概况</w:t>
      </w:r>
      <w:bookmarkEnd w:id="5"/>
      <w:bookmarkEnd w:id="6"/>
    </w:p>
    <w:p w14:paraId="7B8E47A0">
      <w:pPr>
        <w:spacing w:line="300" w:lineRule="auto"/>
        <w:ind w:firstLine="480" w:firstLineChars="200"/>
        <w:rPr>
          <w:rFonts w:ascii="宋体" w:hAnsi="宋体"/>
          <w:sz w:val="24"/>
          <w:szCs w:val="24"/>
        </w:rPr>
      </w:pPr>
      <w:bookmarkStart w:id="7" w:name="_Hlk525588566"/>
      <w:r>
        <w:rPr>
          <w:rFonts w:hint="eastAsia" w:ascii="宋体" w:hAnsi="宋体"/>
          <w:sz w:val="24"/>
          <w:szCs w:val="24"/>
        </w:rPr>
        <w:t>三思永恒科技（浙江）有限公司是一家专业研发、生产、制造、销售、售后技术服务于 一体的专业型试验仪器制造商。自2018年成立三思永恒公司以来，推出全新三思永恒品牌系列产品，主要涉及主要涉及电子万能试验机、液压万能试验机、CTT系列扭转试验机、塑料专用试验机、MTY系列动态疲劳试验机、荧光光谱仪、镀层测厚仪，产品主要应用于橡胶、塑料、冶金、铁、钢、电线、电缆等领域；应用行业有汽车，手机、电子电器、医疗、光伏、造纸、纺织、路桥、航空、航天、科研院校、检验检疫等行业。 产品符合ISO、ASTM、DIN、JIS、LIS、AATCC、PSTC、GB、CNS、BS、UL、IEC、VDE、CSA、HG、TAPPI、DRAFT、CEN等检测标准。</w:t>
      </w:r>
    </w:p>
    <w:p w14:paraId="38242345">
      <w:pPr>
        <w:spacing w:line="300" w:lineRule="auto"/>
        <w:ind w:firstLine="480" w:firstLineChars="200"/>
        <w:rPr>
          <w:rFonts w:ascii="宋体" w:hAnsi="宋体"/>
          <w:sz w:val="24"/>
          <w:szCs w:val="24"/>
        </w:rPr>
      </w:pPr>
      <w:r>
        <w:rPr>
          <w:rFonts w:hint="eastAsia" w:ascii="宋体" w:hAnsi="宋体"/>
          <w:sz w:val="24"/>
          <w:szCs w:val="24"/>
        </w:rPr>
        <w:t>为助力国家专精特新企业发展，打造专精特新小巨人企业，公司聘请培育了一只强大专业的技术队伍，同时聘请原上海计量研究院、国家标委会主编张贵仁老师做为公司的技术总工。先后取得了高新技术企业、工程中心、优质创新创业项目、创新型中小企业认定。通过ISO9001、I</w:t>
      </w:r>
      <w:r>
        <w:rPr>
          <w:rFonts w:ascii="宋体" w:hAnsi="宋体"/>
          <w:sz w:val="24"/>
          <w:szCs w:val="24"/>
        </w:rPr>
        <w:t>SO14001</w:t>
      </w:r>
      <w:r>
        <w:rPr>
          <w:rFonts w:hint="eastAsia" w:ascii="宋体" w:hAnsi="宋体"/>
          <w:sz w:val="24"/>
          <w:szCs w:val="24"/>
        </w:rPr>
        <w:t>、I</w:t>
      </w:r>
      <w:r>
        <w:rPr>
          <w:rFonts w:ascii="宋体" w:hAnsi="宋体"/>
          <w:sz w:val="24"/>
          <w:szCs w:val="24"/>
        </w:rPr>
        <w:t>SO45001</w:t>
      </w:r>
      <w:r>
        <w:rPr>
          <w:rFonts w:hint="eastAsia" w:ascii="宋体" w:hAnsi="宋体"/>
          <w:sz w:val="24"/>
          <w:szCs w:val="24"/>
        </w:rPr>
        <w:t>等体系认证和CE认证，省技术监督局控制器分辨率1/2000000，采集速率（采样频率）10000Hz测试。公司拥有发明专利2项，著作权13项，实用新型专利8项，外观专利1项。同时积极建立企业标准，目前已有1个产品申请建立行业国家标准，1项产品已申请省首台套。公司带领全员学习传统文化和稻盛哲学，践行使命引领，哲学护航，战略突破、机制保障、战术执行形成互动共生的橐龠场，实现全员上下同心同欲发展理念。以利他的思维方式，“追求全体员工物质和精神两方便幸福的同时,托起试验机人的职业崇高感，引领中国试验机走向世界”作为公司使命，践行“称自己 量天下  积善行  思利他”的经营哲学严格要求自己，让仪器行业呈现新格局，建立信任生态圈。</w:t>
      </w:r>
    </w:p>
    <w:bookmarkEnd w:id="7"/>
    <w:p w14:paraId="4D743361">
      <w:pPr>
        <w:pStyle w:val="2"/>
        <w:numPr>
          <w:ilvl w:val="0"/>
          <w:numId w:val="1"/>
        </w:numPr>
        <w:tabs>
          <w:tab w:val="left" w:pos="567"/>
        </w:tabs>
        <w:spacing w:before="0" w:after="0" w:line="300" w:lineRule="auto"/>
        <w:ind w:left="0" w:firstLine="0"/>
        <w:jc w:val="left"/>
        <w:rPr>
          <w:rFonts w:ascii="宋体" w:hAnsi="宋体"/>
          <w:sz w:val="32"/>
          <w:szCs w:val="32"/>
        </w:rPr>
      </w:pPr>
      <w:bookmarkStart w:id="8" w:name="_Toc47951656"/>
      <w:r>
        <w:rPr>
          <w:rFonts w:hint="eastAsia" w:ascii="宋体" w:hAnsi="宋体"/>
          <w:sz w:val="32"/>
          <w:szCs w:val="32"/>
        </w:rPr>
        <w:t>核心价值观</w:t>
      </w:r>
      <w:bookmarkEnd w:id="8"/>
    </w:p>
    <w:p w14:paraId="7DE3EF9E">
      <w:pPr>
        <w:pStyle w:val="55"/>
        <w:numPr>
          <w:ilvl w:val="0"/>
          <w:numId w:val="2"/>
        </w:numPr>
        <w:spacing w:line="300" w:lineRule="auto"/>
        <w:ind w:firstLineChars="0"/>
        <w:rPr>
          <w:rFonts w:ascii="宋体" w:hAnsi="宋体"/>
          <w:b/>
          <w:bCs/>
          <w:kern w:val="44"/>
          <w:sz w:val="32"/>
          <w:szCs w:val="32"/>
        </w:rPr>
      </w:pPr>
      <w:bookmarkStart w:id="9" w:name="_Hlk145189263"/>
      <w:r>
        <w:rPr>
          <w:rFonts w:hint="eastAsia" w:ascii="宋体" w:hAnsi="宋体"/>
          <w:b/>
          <w:bCs/>
          <w:kern w:val="44"/>
          <w:sz w:val="32"/>
          <w:szCs w:val="32"/>
        </w:rPr>
        <w:t>诚信为本、团结协作</w:t>
      </w:r>
      <w:bookmarkEnd w:id="9"/>
      <w:r>
        <w:rPr>
          <w:rFonts w:hint="eastAsia" w:ascii="宋体" w:hAnsi="宋体"/>
          <w:b/>
          <w:bCs/>
          <w:kern w:val="44"/>
          <w:sz w:val="32"/>
          <w:szCs w:val="32"/>
        </w:rPr>
        <w:t>。</w:t>
      </w:r>
    </w:p>
    <w:p w14:paraId="2C6C895E">
      <w:pPr>
        <w:pStyle w:val="2"/>
        <w:numPr>
          <w:ilvl w:val="0"/>
          <w:numId w:val="1"/>
        </w:numPr>
        <w:tabs>
          <w:tab w:val="left" w:pos="567"/>
        </w:tabs>
        <w:spacing w:before="0" w:after="0" w:line="300" w:lineRule="auto"/>
        <w:ind w:left="0" w:firstLine="0"/>
        <w:jc w:val="left"/>
        <w:rPr>
          <w:rFonts w:ascii="宋体" w:hAnsi="宋体"/>
          <w:sz w:val="32"/>
          <w:szCs w:val="32"/>
        </w:rPr>
      </w:pPr>
      <w:bookmarkStart w:id="10" w:name="_Toc47951657"/>
      <w:r>
        <w:rPr>
          <w:rFonts w:hint="eastAsia" w:ascii="宋体" w:hAnsi="宋体"/>
          <w:sz w:val="32"/>
          <w:szCs w:val="32"/>
        </w:rPr>
        <w:t>核心文化</w:t>
      </w:r>
      <w:bookmarkEnd w:id="10"/>
    </w:p>
    <w:p w14:paraId="5ADEB67C">
      <w:pPr>
        <w:spacing w:line="300" w:lineRule="auto"/>
        <w:ind w:firstLine="480" w:firstLineChars="200"/>
        <w:rPr>
          <w:rFonts w:ascii="宋体" w:hAnsi="宋体"/>
          <w:sz w:val="24"/>
          <w:szCs w:val="24"/>
        </w:rPr>
      </w:pPr>
      <w:r>
        <w:rPr>
          <w:rFonts w:hint="eastAsia" w:ascii="宋体" w:hAnsi="宋体"/>
          <w:sz w:val="24"/>
          <w:szCs w:val="24"/>
        </w:rPr>
        <w:t>浙江三思永恒经过多年的经营发展，已经逐渐形成了“包容、创新”的企业文化。</w:t>
      </w:r>
    </w:p>
    <w:p w14:paraId="2D0B9CFF">
      <w:pPr>
        <w:spacing w:line="300" w:lineRule="auto"/>
        <w:ind w:firstLine="480" w:firstLineChars="200"/>
        <w:rPr>
          <w:rFonts w:ascii="宋体" w:hAnsi="宋体"/>
          <w:sz w:val="24"/>
          <w:szCs w:val="24"/>
        </w:rPr>
      </w:pPr>
      <w:r>
        <w:rPr>
          <w:rFonts w:hint="eastAsia" w:ascii="宋体" w:hAnsi="宋体"/>
          <w:sz w:val="24"/>
          <w:szCs w:val="24"/>
        </w:rPr>
        <w:t>企业愿景：</w:t>
      </w:r>
      <w:bookmarkStart w:id="11" w:name="_Hlk145189238"/>
      <w:r>
        <w:rPr>
          <w:rFonts w:hint="eastAsia" w:ascii="宋体" w:hAnsi="宋体"/>
          <w:sz w:val="24"/>
          <w:szCs w:val="24"/>
        </w:rPr>
        <w:t>将公司打造成中国的MTS</w:t>
      </w:r>
      <w:bookmarkEnd w:id="11"/>
    </w:p>
    <w:p w14:paraId="3192B655">
      <w:pPr>
        <w:spacing w:line="300" w:lineRule="auto"/>
        <w:ind w:firstLine="480" w:firstLineChars="200"/>
        <w:rPr>
          <w:rFonts w:ascii="宋体" w:hAnsi="宋体"/>
          <w:sz w:val="24"/>
          <w:szCs w:val="24"/>
        </w:rPr>
      </w:pPr>
      <w:r>
        <w:rPr>
          <w:rFonts w:hint="eastAsia" w:ascii="宋体" w:hAnsi="宋体"/>
          <w:sz w:val="24"/>
          <w:szCs w:val="24"/>
        </w:rPr>
        <w:t>企业使命：</w:t>
      </w:r>
      <w:bookmarkStart w:id="12" w:name="_Hlk145189251"/>
      <w:r>
        <w:rPr>
          <w:rFonts w:hint="eastAsia" w:ascii="宋体" w:hAnsi="宋体"/>
          <w:sz w:val="24"/>
          <w:szCs w:val="24"/>
        </w:rPr>
        <w:t>为每个客户提供高品质的全套解决方案</w:t>
      </w:r>
      <w:bookmarkEnd w:id="12"/>
    </w:p>
    <w:p w14:paraId="6469B098">
      <w:pPr>
        <w:pStyle w:val="2"/>
        <w:numPr>
          <w:ilvl w:val="0"/>
          <w:numId w:val="1"/>
        </w:numPr>
        <w:tabs>
          <w:tab w:val="left" w:pos="567"/>
        </w:tabs>
        <w:spacing w:before="0" w:after="0" w:line="300" w:lineRule="auto"/>
        <w:ind w:left="0" w:firstLine="0"/>
        <w:jc w:val="left"/>
        <w:rPr>
          <w:rFonts w:ascii="宋体" w:hAnsi="宋体"/>
          <w:sz w:val="32"/>
          <w:szCs w:val="32"/>
        </w:rPr>
      </w:pPr>
      <w:bookmarkStart w:id="13" w:name="_Toc47951658"/>
      <w:bookmarkStart w:id="14" w:name="_Toc8221278"/>
      <w:r>
        <w:rPr>
          <w:rFonts w:hint="eastAsia" w:ascii="宋体" w:hAnsi="宋体"/>
          <w:sz w:val="32"/>
          <w:szCs w:val="32"/>
        </w:rPr>
        <w:t>组织机构</w:t>
      </w:r>
      <w:bookmarkEnd w:id="13"/>
      <w:bookmarkEnd w:id="14"/>
    </w:p>
    <w:p w14:paraId="45A8AFA1">
      <w:pPr>
        <w:spacing w:line="300" w:lineRule="auto"/>
        <w:ind w:firstLine="480" w:firstLineChars="200"/>
        <w:rPr>
          <w:rFonts w:ascii="微软雅黑" w:hAnsi="微软雅黑" w:eastAsia="微软雅黑"/>
          <w:szCs w:val="21"/>
        </w:rPr>
      </w:pPr>
      <w:r>
        <w:rPr>
          <w:rFonts w:hint="eastAsia" w:ascii="宋体" w:hAnsi="宋体"/>
          <w:sz w:val="24"/>
          <w:szCs w:val="24"/>
        </w:rPr>
        <w:t>浙江三思永恒按照《公司法》和《公司章程》的规定，并结合业务发展的需要，建立了规范的法人治理结构、经营组织机构和健全的内部管理制度，并“以顾客为关注焦点”开展各项活动，实现企业发展。组织机构型式详见图1。</w:t>
      </w:r>
    </w:p>
    <w:p w14:paraId="7366895A">
      <w:pPr>
        <w:spacing w:line="360" w:lineRule="auto"/>
        <w:ind w:firstLine="211" w:firstLineChars="100"/>
        <w:rPr>
          <w:rFonts w:ascii="楷体" w:hAnsi="楷体" w:eastAsia="楷体" w:cs="楷体"/>
          <w:b/>
          <w:sz w:val="24"/>
          <w:szCs w:val="24"/>
        </w:rPr>
      </w:pPr>
      <w:r>
        <w:rPr>
          <w:rFonts w:ascii="宋体" w:hAnsi="宋体"/>
          <w:b/>
          <w:szCs w:val="21"/>
        </w:rPr>
        <w:drawing>
          <wp:inline distT="0" distB="0" distL="0" distR="0">
            <wp:extent cx="5334000" cy="2654300"/>
            <wp:effectExtent l="0" t="0" r="0" b="0"/>
            <wp:docPr id="2824397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39733"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34000" cy="2654300"/>
                    </a:xfrm>
                    <a:prstGeom prst="rect">
                      <a:avLst/>
                    </a:prstGeom>
                    <a:noFill/>
                    <a:ln>
                      <a:noFill/>
                    </a:ln>
                  </pic:spPr>
                </pic:pic>
              </a:graphicData>
            </a:graphic>
          </wp:inline>
        </w:drawing>
      </w:r>
    </w:p>
    <w:p w14:paraId="3FB0480B">
      <w:pPr>
        <w:spacing w:line="300" w:lineRule="auto"/>
        <w:jc w:val="center"/>
        <w:rPr>
          <w:rFonts w:ascii="宋体" w:hAnsi="宋体"/>
          <w:b/>
          <w:szCs w:val="21"/>
        </w:rPr>
      </w:pPr>
      <w:r>
        <w:rPr>
          <w:rFonts w:hint="eastAsia" w:ascii="宋体" w:hAnsi="宋体"/>
          <w:b/>
          <w:szCs w:val="21"/>
        </w:rPr>
        <w:t>图1 组织机构图</w:t>
      </w:r>
    </w:p>
    <w:p w14:paraId="68C89BB2">
      <w:pPr>
        <w:pStyle w:val="2"/>
        <w:numPr>
          <w:ilvl w:val="0"/>
          <w:numId w:val="1"/>
        </w:numPr>
        <w:tabs>
          <w:tab w:val="left" w:pos="567"/>
        </w:tabs>
        <w:spacing w:before="0" w:after="0" w:line="300" w:lineRule="auto"/>
        <w:ind w:left="0" w:firstLine="0"/>
        <w:jc w:val="left"/>
        <w:rPr>
          <w:rFonts w:ascii="宋体" w:hAnsi="宋体"/>
          <w:sz w:val="32"/>
          <w:szCs w:val="32"/>
        </w:rPr>
      </w:pPr>
      <w:bookmarkStart w:id="15" w:name="_Toc47951659"/>
      <w:bookmarkStart w:id="16" w:name="_Toc8221279"/>
      <w:r>
        <w:rPr>
          <w:rFonts w:hint="eastAsia" w:ascii="宋体" w:hAnsi="宋体"/>
          <w:sz w:val="32"/>
          <w:szCs w:val="32"/>
        </w:rPr>
        <w:t>管理体系</w:t>
      </w:r>
      <w:bookmarkEnd w:id="15"/>
      <w:bookmarkEnd w:id="16"/>
    </w:p>
    <w:p w14:paraId="7309E35D">
      <w:pPr>
        <w:spacing w:line="300" w:lineRule="auto"/>
        <w:ind w:firstLine="480" w:firstLineChars="200"/>
        <w:rPr>
          <w:rFonts w:ascii="宋体" w:hAnsi="宋体"/>
          <w:sz w:val="24"/>
          <w:szCs w:val="24"/>
        </w:rPr>
      </w:pPr>
      <w:r>
        <w:rPr>
          <w:rFonts w:hint="eastAsia" w:ascii="宋体" w:hAnsi="宋体"/>
          <w:sz w:val="24"/>
          <w:szCs w:val="24"/>
        </w:rPr>
        <w:t>三思永恒高度重视管理体系的建设，先后建立了以ISO9001、ISO1400</w:t>
      </w:r>
      <w:r>
        <w:rPr>
          <w:rFonts w:ascii="宋体" w:hAnsi="宋体"/>
          <w:sz w:val="24"/>
          <w:szCs w:val="24"/>
        </w:rPr>
        <w:t>1</w:t>
      </w:r>
      <w:r>
        <w:rPr>
          <w:rFonts w:hint="eastAsia" w:ascii="宋体" w:hAnsi="宋体"/>
          <w:sz w:val="24"/>
          <w:szCs w:val="24"/>
        </w:rPr>
        <w:t>和ISO45001等国际标准为基础的质量管理体系、环境管理体系和职业健康安全管理体系并通过第三方（外方）的审核，取得了相应的证书。</w:t>
      </w:r>
    </w:p>
    <w:p w14:paraId="5D644F9C">
      <w:pPr>
        <w:spacing w:line="300" w:lineRule="auto"/>
        <w:ind w:firstLine="480" w:firstLineChars="200"/>
        <w:rPr>
          <w:rFonts w:ascii="宋体" w:hAnsi="宋体"/>
          <w:sz w:val="24"/>
          <w:szCs w:val="24"/>
        </w:rPr>
      </w:pPr>
      <w:r>
        <w:rPr>
          <w:rFonts w:hint="eastAsia" w:ascii="宋体" w:hAnsi="宋体"/>
          <w:sz w:val="24"/>
          <w:szCs w:val="24"/>
        </w:rPr>
        <w:t>三思永恒建立了完整的质量管理流程，并且严格按照该流程执行。完善的质量管理体系能够为我们进一步开拓市场提供可靠的质量保证。</w:t>
      </w:r>
    </w:p>
    <w:p w14:paraId="6C4EF201">
      <w:pPr>
        <w:pStyle w:val="2"/>
        <w:numPr>
          <w:ilvl w:val="0"/>
          <w:numId w:val="1"/>
        </w:numPr>
        <w:tabs>
          <w:tab w:val="left" w:pos="567"/>
        </w:tabs>
        <w:spacing w:before="0" w:after="0" w:line="300" w:lineRule="auto"/>
        <w:ind w:left="0" w:firstLine="0"/>
        <w:jc w:val="left"/>
        <w:rPr>
          <w:rFonts w:ascii="宋体" w:hAnsi="宋体"/>
          <w:sz w:val="32"/>
          <w:szCs w:val="32"/>
        </w:rPr>
      </w:pPr>
      <w:bookmarkStart w:id="17" w:name="_Toc47951660"/>
      <w:bookmarkStart w:id="18" w:name="_Toc8221280"/>
      <w:r>
        <w:rPr>
          <w:rFonts w:hint="eastAsia" w:ascii="宋体" w:hAnsi="宋体"/>
          <w:sz w:val="32"/>
          <w:szCs w:val="32"/>
        </w:rPr>
        <w:t>员工基本情况</w:t>
      </w:r>
      <w:bookmarkEnd w:id="17"/>
      <w:bookmarkEnd w:id="18"/>
    </w:p>
    <w:p w14:paraId="2BA70481">
      <w:pPr>
        <w:spacing w:line="300" w:lineRule="auto"/>
        <w:ind w:firstLine="480" w:firstLineChars="200"/>
        <w:rPr>
          <w:rFonts w:ascii="宋体" w:hAnsi="宋体"/>
          <w:sz w:val="24"/>
          <w:szCs w:val="24"/>
        </w:rPr>
      </w:pPr>
      <w:r>
        <w:rPr>
          <w:rFonts w:hint="eastAsia" w:ascii="宋体" w:hAnsi="宋体"/>
          <w:sz w:val="24"/>
          <w:szCs w:val="24"/>
        </w:rPr>
        <w:t>三思永恒科技（浙江）有限公司的员工总数约为</w:t>
      </w:r>
      <w:r>
        <w:rPr>
          <w:rFonts w:ascii="宋体" w:hAnsi="宋体"/>
          <w:sz w:val="24"/>
          <w:szCs w:val="24"/>
        </w:rPr>
        <w:t>41</w:t>
      </w:r>
      <w:r>
        <w:rPr>
          <w:rFonts w:hint="eastAsia" w:ascii="宋体" w:hAnsi="宋体"/>
          <w:sz w:val="24"/>
          <w:szCs w:val="24"/>
        </w:rPr>
        <w:t>人，企业一方面通过资源整合进行人员结构优化，减员增效，另一方面大力培养中高层管理干部，进行管理层优化。对组织结构进行优化调整，公司资源平台化。浙江三思永恒员工构成情况详见表1。</w:t>
      </w:r>
    </w:p>
    <w:p w14:paraId="41649152">
      <w:pPr>
        <w:widowControl/>
        <w:spacing w:line="300" w:lineRule="auto"/>
        <w:ind w:firstLine="422" w:firstLineChars="200"/>
        <w:jc w:val="left"/>
        <w:rPr>
          <w:rFonts w:ascii="宋体" w:hAnsi="宋体"/>
          <w:b/>
          <w:szCs w:val="21"/>
        </w:rPr>
      </w:pPr>
      <w:r>
        <w:rPr>
          <w:rFonts w:hint="eastAsia" w:ascii="宋体" w:hAnsi="宋体"/>
          <w:b/>
          <w:szCs w:val="21"/>
        </w:rPr>
        <w:t xml:space="preserve">表 </w:t>
      </w:r>
      <w:r>
        <w:rPr>
          <w:rFonts w:hint="eastAsia" w:ascii="宋体" w:hAnsi="宋体"/>
          <w:b/>
          <w:szCs w:val="21"/>
        </w:rPr>
        <w:fldChar w:fldCharType="begin"/>
      </w:r>
      <w:r>
        <w:rPr>
          <w:rFonts w:hint="eastAsia" w:ascii="宋体" w:hAnsi="宋体"/>
          <w:b/>
          <w:szCs w:val="21"/>
        </w:rPr>
        <w:instrText xml:space="preserve"> SEQ 表B- \* ARABIC </w:instrText>
      </w:r>
      <w:r>
        <w:rPr>
          <w:rFonts w:hint="eastAsia" w:ascii="宋体" w:hAnsi="宋体"/>
          <w:b/>
          <w:szCs w:val="21"/>
        </w:rPr>
        <w:fldChar w:fldCharType="separate"/>
      </w:r>
      <w:r>
        <w:rPr>
          <w:rFonts w:hint="eastAsia" w:ascii="宋体" w:hAnsi="宋体"/>
          <w:b/>
          <w:szCs w:val="21"/>
        </w:rPr>
        <w:t>1</w:t>
      </w:r>
      <w:r>
        <w:rPr>
          <w:rFonts w:hint="eastAsia" w:ascii="宋体" w:hAnsi="宋体"/>
          <w:b/>
          <w:szCs w:val="21"/>
        </w:rPr>
        <w:fldChar w:fldCharType="end"/>
      </w:r>
      <w:r>
        <w:rPr>
          <w:rFonts w:hint="eastAsia" w:ascii="宋体" w:hAnsi="宋体"/>
          <w:b/>
          <w:szCs w:val="21"/>
        </w:rPr>
        <w:t xml:space="preserve">                              公司构成员工概况</w:t>
      </w:r>
      <w:bookmarkStart w:id="19" w:name="_Toc8221281"/>
    </w:p>
    <w:tbl>
      <w:tblPr>
        <w:tblStyle w:val="17"/>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291"/>
        <w:gridCol w:w="983"/>
        <w:gridCol w:w="899"/>
        <w:gridCol w:w="536"/>
        <w:gridCol w:w="1936"/>
        <w:gridCol w:w="1000"/>
        <w:gridCol w:w="938"/>
      </w:tblGrid>
      <w:tr w14:paraId="5AA3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2846" w:type="dxa"/>
            <w:gridSpan w:val="2"/>
            <w:tcBorders>
              <w:top w:val="single" w:color="auto" w:sz="4" w:space="0"/>
              <w:left w:val="single" w:color="auto" w:sz="4" w:space="0"/>
              <w:bottom w:val="single" w:color="auto" w:sz="4" w:space="0"/>
              <w:right w:val="single" w:color="auto" w:sz="4" w:space="0"/>
            </w:tcBorders>
            <w:vAlign w:val="center"/>
          </w:tcPr>
          <w:p w14:paraId="09BDB36B">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员工类型</w:t>
            </w:r>
          </w:p>
        </w:tc>
        <w:tc>
          <w:tcPr>
            <w:tcW w:w="983" w:type="dxa"/>
            <w:tcBorders>
              <w:top w:val="single" w:color="auto" w:sz="4" w:space="0"/>
              <w:left w:val="single" w:color="auto" w:sz="4" w:space="0"/>
              <w:bottom w:val="single" w:color="auto" w:sz="4" w:space="0"/>
              <w:right w:val="single" w:color="auto" w:sz="4" w:space="0"/>
            </w:tcBorders>
            <w:vAlign w:val="center"/>
          </w:tcPr>
          <w:p w14:paraId="4D98BF26">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人数</w:t>
            </w:r>
          </w:p>
        </w:tc>
        <w:tc>
          <w:tcPr>
            <w:tcW w:w="899" w:type="dxa"/>
            <w:tcBorders>
              <w:top w:val="single" w:color="auto" w:sz="4" w:space="0"/>
              <w:left w:val="single" w:color="auto" w:sz="4" w:space="0"/>
              <w:bottom w:val="single" w:color="auto" w:sz="4" w:space="0"/>
              <w:right w:val="single" w:color="auto" w:sz="4" w:space="0"/>
            </w:tcBorders>
            <w:vAlign w:val="center"/>
          </w:tcPr>
          <w:p w14:paraId="77EA063E">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占比</w:t>
            </w:r>
          </w:p>
        </w:tc>
        <w:tc>
          <w:tcPr>
            <w:tcW w:w="2472" w:type="dxa"/>
            <w:gridSpan w:val="2"/>
            <w:tcBorders>
              <w:top w:val="single" w:color="auto" w:sz="4" w:space="0"/>
              <w:left w:val="single" w:color="auto" w:sz="4" w:space="0"/>
              <w:bottom w:val="single" w:color="auto" w:sz="4" w:space="0"/>
              <w:right w:val="single" w:color="auto" w:sz="4" w:space="0"/>
            </w:tcBorders>
            <w:vAlign w:val="center"/>
          </w:tcPr>
          <w:p w14:paraId="67FE78E0">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员工类型</w:t>
            </w:r>
          </w:p>
        </w:tc>
        <w:tc>
          <w:tcPr>
            <w:tcW w:w="1000" w:type="dxa"/>
            <w:tcBorders>
              <w:top w:val="single" w:color="auto" w:sz="4" w:space="0"/>
              <w:left w:val="single" w:color="auto" w:sz="4" w:space="0"/>
              <w:bottom w:val="single" w:color="auto" w:sz="4" w:space="0"/>
              <w:right w:val="single" w:color="auto" w:sz="4" w:space="0"/>
            </w:tcBorders>
            <w:vAlign w:val="center"/>
          </w:tcPr>
          <w:p w14:paraId="2870090F">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人数</w:t>
            </w:r>
          </w:p>
        </w:tc>
        <w:tc>
          <w:tcPr>
            <w:tcW w:w="938" w:type="dxa"/>
            <w:tcBorders>
              <w:top w:val="single" w:color="auto" w:sz="4" w:space="0"/>
              <w:left w:val="single" w:color="auto" w:sz="4" w:space="0"/>
              <w:bottom w:val="single" w:color="auto" w:sz="4" w:space="0"/>
              <w:right w:val="single" w:color="auto" w:sz="4" w:space="0"/>
            </w:tcBorders>
            <w:vAlign w:val="center"/>
          </w:tcPr>
          <w:p w14:paraId="6D185C90">
            <w:pPr>
              <w:pStyle w:val="61"/>
              <w:adjustRightInd w:val="0"/>
              <w:snapToGrid w:val="0"/>
              <w:spacing w:before="78" w:beforeLines="25" w:after="78" w:afterLines="25" w:line="240" w:lineRule="exact"/>
              <w:ind w:firstLine="0" w:firstLineChars="0"/>
              <w:jc w:val="center"/>
              <w:rPr>
                <w:rFonts w:ascii="宋体" w:hAnsi="宋体" w:cs="微软雅黑"/>
                <w:b/>
                <w:bCs/>
              </w:rPr>
            </w:pPr>
            <w:r>
              <w:rPr>
                <w:rFonts w:hint="eastAsia" w:ascii="宋体" w:hAnsi="宋体" w:cs="微软雅黑"/>
                <w:b/>
                <w:bCs/>
              </w:rPr>
              <w:t>占比</w:t>
            </w:r>
          </w:p>
        </w:tc>
      </w:tr>
      <w:tr w14:paraId="31D2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restart"/>
            <w:tcBorders>
              <w:top w:val="nil"/>
              <w:left w:val="single" w:color="auto" w:sz="4" w:space="0"/>
              <w:bottom w:val="single" w:color="auto" w:sz="4" w:space="0"/>
              <w:right w:val="single" w:color="auto" w:sz="4" w:space="0"/>
            </w:tcBorders>
            <w:shd w:val="clear" w:color="auto" w:fill="FFFFFF"/>
            <w:vAlign w:val="center"/>
          </w:tcPr>
          <w:p w14:paraId="5E75B390">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按年龄</w:t>
            </w: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64768E40">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30岁以下</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333C1F84">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16</w:t>
            </w:r>
          </w:p>
        </w:tc>
        <w:tc>
          <w:tcPr>
            <w:tcW w:w="899" w:type="dxa"/>
            <w:tcBorders>
              <w:top w:val="single" w:color="auto" w:sz="4" w:space="0"/>
              <w:left w:val="single" w:color="auto" w:sz="4" w:space="0"/>
              <w:bottom w:val="single" w:color="auto" w:sz="4" w:space="0"/>
              <w:right w:val="single" w:color="auto" w:sz="4" w:space="0"/>
            </w:tcBorders>
            <w:vAlign w:val="center"/>
          </w:tcPr>
          <w:p w14:paraId="2491E4DE">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39.02%</w:t>
            </w:r>
          </w:p>
        </w:tc>
        <w:tc>
          <w:tcPr>
            <w:tcW w:w="536" w:type="dxa"/>
            <w:vMerge w:val="restart"/>
            <w:tcBorders>
              <w:top w:val="nil"/>
              <w:left w:val="single" w:color="auto" w:sz="4" w:space="0"/>
              <w:bottom w:val="single" w:color="auto" w:sz="4" w:space="0"/>
              <w:right w:val="single" w:color="auto" w:sz="4" w:space="0"/>
            </w:tcBorders>
            <w:vAlign w:val="center"/>
          </w:tcPr>
          <w:p w14:paraId="0C05F14B">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按职能</w:t>
            </w:r>
          </w:p>
        </w:tc>
        <w:tc>
          <w:tcPr>
            <w:tcW w:w="1936" w:type="dxa"/>
            <w:tcBorders>
              <w:top w:val="single" w:color="auto" w:sz="4" w:space="0"/>
              <w:left w:val="single" w:color="auto" w:sz="4" w:space="0"/>
              <w:bottom w:val="single" w:color="auto" w:sz="4" w:space="0"/>
              <w:right w:val="single" w:color="auto" w:sz="4" w:space="0"/>
            </w:tcBorders>
            <w:vAlign w:val="center"/>
          </w:tcPr>
          <w:p w14:paraId="5B067926">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营销人员</w:t>
            </w:r>
          </w:p>
        </w:tc>
        <w:tc>
          <w:tcPr>
            <w:tcW w:w="1000" w:type="dxa"/>
            <w:tcBorders>
              <w:top w:val="single" w:color="auto" w:sz="4" w:space="0"/>
              <w:left w:val="single" w:color="auto" w:sz="4" w:space="0"/>
              <w:bottom w:val="single" w:color="auto" w:sz="4" w:space="0"/>
              <w:right w:val="single" w:color="auto" w:sz="4" w:space="0"/>
            </w:tcBorders>
            <w:vAlign w:val="center"/>
          </w:tcPr>
          <w:p w14:paraId="22629BC5">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10</w:t>
            </w:r>
          </w:p>
        </w:tc>
        <w:tc>
          <w:tcPr>
            <w:tcW w:w="938" w:type="dxa"/>
            <w:tcBorders>
              <w:top w:val="single" w:color="auto" w:sz="4" w:space="0"/>
              <w:left w:val="single" w:color="auto" w:sz="4" w:space="0"/>
              <w:bottom w:val="single" w:color="auto" w:sz="4" w:space="0"/>
              <w:right w:val="single" w:color="auto" w:sz="4" w:space="0"/>
            </w:tcBorders>
            <w:vAlign w:val="center"/>
          </w:tcPr>
          <w:p w14:paraId="3BFE9CCC">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24.39%</w:t>
            </w:r>
          </w:p>
        </w:tc>
      </w:tr>
      <w:tr w14:paraId="1621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64831039">
            <w:pPr>
              <w:widowControl/>
              <w:spacing w:line="240" w:lineRule="exact"/>
              <w:rPr>
                <w:rFonts w:ascii="宋体" w:hAnsi="宋体" w:cs="微软雅黑"/>
                <w:b/>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131243FC">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31-40（含40岁）</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3EC6D5E4">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14</w:t>
            </w:r>
          </w:p>
        </w:tc>
        <w:tc>
          <w:tcPr>
            <w:tcW w:w="899" w:type="dxa"/>
            <w:tcBorders>
              <w:top w:val="single" w:color="auto" w:sz="4" w:space="0"/>
              <w:left w:val="single" w:color="auto" w:sz="4" w:space="0"/>
              <w:bottom w:val="single" w:color="auto" w:sz="4" w:space="0"/>
              <w:right w:val="single" w:color="auto" w:sz="4" w:space="0"/>
            </w:tcBorders>
            <w:vAlign w:val="center"/>
          </w:tcPr>
          <w:p w14:paraId="6D086045">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34.14%</w:t>
            </w:r>
          </w:p>
        </w:tc>
        <w:tc>
          <w:tcPr>
            <w:tcW w:w="536" w:type="dxa"/>
            <w:vMerge w:val="continue"/>
            <w:tcBorders>
              <w:top w:val="nil"/>
              <w:left w:val="single" w:color="auto" w:sz="4" w:space="0"/>
              <w:bottom w:val="single" w:color="auto" w:sz="4" w:space="0"/>
              <w:right w:val="single" w:color="auto" w:sz="4" w:space="0"/>
            </w:tcBorders>
            <w:vAlign w:val="center"/>
          </w:tcPr>
          <w:p w14:paraId="75622C1A">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14:paraId="5242D728">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管理人员</w:t>
            </w:r>
          </w:p>
        </w:tc>
        <w:tc>
          <w:tcPr>
            <w:tcW w:w="1000" w:type="dxa"/>
            <w:tcBorders>
              <w:top w:val="single" w:color="auto" w:sz="4" w:space="0"/>
              <w:left w:val="single" w:color="auto" w:sz="4" w:space="0"/>
              <w:bottom w:val="single" w:color="auto" w:sz="4" w:space="0"/>
              <w:right w:val="single" w:color="auto" w:sz="4" w:space="0"/>
            </w:tcBorders>
            <w:vAlign w:val="center"/>
          </w:tcPr>
          <w:p w14:paraId="69450128">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12</w:t>
            </w:r>
          </w:p>
        </w:tc>
        <w:tc>
          <w:tcPr>
            <w:tcW w:w="938" w:type="dxa"/>
            <w:tcBorders>
              <w:top w:val="single" w:color="auto" w:sz="4" w:space="0"/>
              <w:left w:val="single" w:color="auto" w:sz="4" w:space="0"/>
              <w:bottom w:val="single" w:color="auto" w:sz="4" w:space="0"/>
              <w:right w:val="single" w:color="auto" w:sz="4" w:space="0"/>
            </w:tcBorders>
            <w:vAlign w:val="center"/>
          </w:tcPr>
          <w:p w14:paraId="174A3D64">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29.26%</w:t>
            </w:r>
          </w:p>
        </w:tc>
      </w:tr>
      <w:tr w14:paraId="56A0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2CCED9C4">
            <w:pPr>
              <w:widowControl/>
              <w:spacing w:line="240" w:lineRule="exact"/>
              <w:rPr>
                <w:rFonts w:ascii="宋体" w:hAnsi="宋体" w:cs="微软雅黑"/>
                <w:b/>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16850428">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41-50（含50岁）</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07FD1EBE">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8</w:t>
            </w:r>
          </w:p>
        </w:tc>
        <w:tc>
          <w:tcPr>
            <w:tcW w:w="899" w:type="dxa"/>
            <w:tcBorders>
              <w:top w:val="single" w:color="auto" w:sz="4" w:space="0"/>
              <w:left w:val="single" w:color="auto" w:sz="4" w:space="0"/>
              <w:bottom w:val="single" w:color="auto" w:sz="4" w:space="0"/>
              <w:right w:val="single" w:color="auto" w:sz="4" w:space="0"/>
            </w:tcBorders>
            <w:vAlign w:val="center"/>
          </w:tcPr>
          <w:p w14:paraId="149118F2">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19.51%</w:t>
            </w:r>
          </w:p>
        </w:tc>
        <w:tc>
          <w:tcPr>
            <w:tcW w:w="536" w:type="dxa"/>
            <w:vMerge w:val="continue"/>
            <w:tcBorders>
              <w:top w:val="nil"/>
              <w:left w:val="single" w:color="auto" w:sz="4" w:space="0"/>
              <w:bottom w:val="single" w:color="auto" w:sz="4" w:space="0"/>
              <w:right w:val="single" w:color="auto" w:sz="4" w:space="0"/>
            </w:tcBorders>
            <w:vAlign w:val="center"/>
          </w:tcPr>
          <w:p w14:paraId="1D76BF0D">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14:paraId="6F8C25F8">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技术人员</w:t>
            </w:r>
          </w:p>
        </w:tc>
        <w:tc>
          <w:tcPr>
            <w:tcW w:w="1000" w:type="dxa"/>
            <w:tcBorders>
              <w:top w:val="single" w:color="auto" w:sz="4" w:space="0"/>
              <w:left w:val="single" w:color="auto" w:sz="4" w:space="0"/>
              <w:bottom w:val="single" w:color="auto" w:sz="4" w:space="0"/>
              <w:right w:val="single" w:color="auto" w:sz="4" w:space="0"/>
            </w:tcBorders>
            <w:vAlign w:val="center"/>
          </w:tcPr>
          <w:p w14:paraId="6E998989">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w:t>
            </w:r>
          </w:p>
        </w:tc>
        <w:tc>
          <w:tcPr>
            <w:tcW w:w="938" w:type="dxa"/>
            <w:tcBorders>
              <w:top w:val="single" w:color="auto" w:sz="4" w:space="0"/>
              <w:left w:val="single" w:color="auto" w:sz="4" w:space="0"/>
              <w:bottom w:val="single" w:color="auto" w:sz="4" w:space="0"/>
              <w:right w:val="single" w:color="auto" w:sz="4" w:space="0"/>
            </w:tcBorders>
            <w:vAlign w:val="center"/>
          </w:tcPr>
          <w:p w14:paraId="133E4316">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9.75%</w:t>
            </w:r>
          </w:p>
        </w:tc>
      </w:tr>
      <w:tr w14:paraId="0B1B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5F0E17AE">
            <w:pPr>
              <w:widowControl/>
              <w:spacing w:line="240" w:lineRule="exact"/>
              <w:rPr>
                <w:rFonts w:ascii="宋体" w:hAnsi="宋体" w:cs="微软雅黑"/>
                <w:b/>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3AAF5397">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51岁上</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7326987A">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w:t>
            </w:r>
          </w:p>
        </w:tc>
        <w:tc>
          <w:tcPr>
            <w:tcW w:w="899" w:type="dxa"/>
            <w:tcBorders>
              <w:top w:val="single" w:color="auto" w:sz="4" w:space="0"/>
              <w:left w:val="single" w:color="auto" w:sz="4" w:space="0"/>
              <w:bottom w:val="single" w:color="auto" w:sz="4" w:space="0"/>
              <w:right w:val="single" w:color="auto" w:sz="4" w:space="0"/>
            </w:tcBorders>
            <w:vAlign w:val="center"/>
          </w:tcPr>
          <w:p w14:paraId="2AB46B3F">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7.3%</w:t>
            </w:r>
          </w:p>
        </w:tc>
        <w:tc>
          <w:tcPr>
            <w:tcW w:w="536" w:type="dxa"/>
            <w:vMerge w:val="continue"/>
            <w:tcBorders>
              <w:top w:val="nil"/>
              <w:left w:val="single" w:color="auto" w:sz="4" w:space="0"/>
              <w:bottom w:val="single" w:color="auto" w:sz="4" w:space="0"/>
              <w:right w:val="single" w:color="auto" w:sz="4" w:space="0"/>
            </w:tcBorders>
            <w:vAlign w:val="center"/>
          </w:tcPr>
          <w:p w14:paraId="66830B27">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14:paraId="4C4FCB02">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操作人员</w:t>
            </w:r>
          </w:p>
        </w:tc>
        <w:tc>
          <w:tcPr>
            <w:tcW w:w="1000" w:type="dxa"/>
            <w:tcBorders>
              <w:top w:val="single" w:color="auto" w:sz="4" w:space="0"/>
              <w:left w:val="single" w:color="auto" w:sz="4" w:space="0"/>
              <w:bottom w:val="single" w:color="auto" w:sz="4" w:space="0"/>
              <w:right w:val="single" w:color="auto" w:sz="4" w:space="0"/>
            </w:tcBorders>
            <w:vAlign w:val="center"/>
          </w:tcPr>
          <w:p w14:paraId="2C2BDE86">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11</w:t>
            </w:r>
          </w:p>
        </w:tc>
        <w:tc>
          <w:tcPr>
            <w:tcW w:w="938" w:type="dxa"/>
            <w:tcBorders>
              <w:top w:val="single" w:color="auto" w:sz="4" w:space="0"/>
              <w:left w:val="single" w:color="auto" w:sz="4" w:space="0"/>
              <w:bottom w:val="single" w:color="auto" w:sz="4" w:space="0"/>
              <w:right w:val="single" w:color="auto" w:sz="4" w:space="0"/>
            </w:tcBorders>
            <w:vAlign w:val="center"/>
          </w:tcPr>
          <w:p w14:paraId="2A048982">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26.82%</w:t>
            </w:r>
          </w:p>
        </w:tc>
      </w:tr>
      <w:tr w14:paraId="1F40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4ADF8C5F">
            <w:pPr>
              <w:widowControl/>
              <w:spacing w:line="240" w:lineRule="exact"/>
              <w:rPr>
                <w:rFonts w:ascii="宋体" w:hAnsi="宋体" w:cs="微软雅黑"/>
                <w:b/>
                <w:sz w:val="18"/>
                <w:szCs w:val="18"/>
              </w:rPr>
            </w:pPr>
          </w:p>
        </w:tc>
        <w:tc>
          <w:tcPr>
            <w:tcW w:w="2291" w:type="dxa"/>
            <w:vMerge w:val="restart"/>
            <w:tcBorders>
              <w:top w:val="single" w:color="auto" w:sz="4" w:space="0"/>
              <w:left w:val="single" w:color="auto" w:sz="4" w:space="0"/>
              <w:right w:val="single" w:color="auto" w:sz="4" w:space="0"/>
            </w:tcBorders>
            <w:shd w:val="clear" w:color="auto" w:fill="FFFFFF"/>
            <w:vAlign w:val="center"/>
          </w:tcPr>
          <w:p w14:paraId="7D18FC63">
            <w:pPr>
              <w:adjustRightInd w:val="0"/>
              <w:snapToGrid w:val="0"/>
              <w:spacing w:line="360" w:lineRule="exact"/>
              <w:jc w:val="center"/>
              <w:rPr>
                <w:rFonts w:ascii="宋体" w:hAnsi="宋体" w:cs="微软雅黑"/>
                <w:bCs/>
                <w:sz w:val="18"/>
                <w:szCs w:val="18"/>
              </w:rPr>
            </w:pPr>
            <w:r>
              <w:rPr>
                <w:rFonts w:hint="eastAsia" w:ascii="宋体" w:hAnsi="宋体" w:cs="微软雅黑"/>
                <w:b/>
                <w:sz w:val="18"/>
                <w:szCs w:val="18"/>
              </w:rPr>
              <w:t>合计</w:t>
            </w:r>
          </w:p>
        </w:tc>
        <w:tc>
          <w:tcPr>
            <w:tcW w:w="983" w:type="dxa"/>
            <w:vMerge w:val="restart"/>
            <w:tcBorders>
              <w:top w:val="single" w:color="auto" w:sz="4" w:space="0"/>
              <w:left w:val="single" w:color="auto" w:sz="4" w:space="0"/>
              <w:right w:val="single" w:color="auto" w:sz="4" w:space="0"/>
            </w:tcBorders>
            <w:shd w:val="clear" w:color="auto" w:fill="FFFFFF"/>
            <w:vAlign w:val="center"/>
          </w:tcPr>
          <w:p w14:paraId="4297670A">
            <w:pPr>
              <w:adjustRightInd w:val="0"/>
              <w:snapToGrid w:val="0"/>
              <w:spacing w:line="360" w:lineRule="exact"/>
              <w:jc w:val="center"/>
              <w:rPr>
                <w:rFonts w:ascii="宋体" w:hAnsi="宋体" w:cs="微软雅黑"/>
                <w:bCs/>
                <w:sz w:val="18"/>
                <w:szCs w:val="18"/>
              </w:rPr>
            </w:pPr>
            <w:r>
              <w:rPr>
                <w:rFonts w:hint="eastAsia" w:ascii="宋体" w:hAnsi="宋体" w:cs="微软雅黑"/>
                <w:b/>
                <w:sz w:val="18"/>
                <w:szCs w:val="18"/>
              </w:rPr>
              <w:t>41</w:t>
            </w:r>
          </w:p>
        </w:tc>
        <w:tc>
          <w:tcPr>
            <w:tcW w:w="899" w:type="dxa"/>
            <w:vMerge w:val="restart"/>
            <w:tcBorders>
              <w:top w:val="single" w:color="auto" w:sz="4" w:space="0"/>
              <w:left w:val="single" w:color="auto" w:sz="4" w:space="0"/>
              <w:right w:val="single" w:color="auto" w:sz="4" w:space="0"/>
            </w:tcBorders>
            <w:vAlign w:val="center"/>
          </w:tcPr>
          <w:p w14:paraId="4558B4E3">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c>
          <w:tcPr>
            <w:tcW w:w="536" w:type="dxa"/>
            <w:vMerge w:val="continue"/>
            <w:tcBorders>
              <w:top w:val="nil"/>
              <w:left w:val="single" w:color="auto" w:sz="4" w:space="0"/>
              <w:bottom w:val="single" w:color="auto" w:sz="4" w:space="0"/>
              <w:right w:val="single" w:color="auto" w:sz="4" w:space="0"/>
            </w:tcBorders>
            <w:vAlign w:val="center"/>
          </w:tcPr>
          <w:p w14:paraId="77204287">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14:paraId="2BA51B9F">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职能人员</w:t>
            </w:r>
          </w:p>
        </w:tc>
        <w:tc>
          <w:tcPr>
            <w:tcW w:w="1000" w:type="dxa"/>
            <w:tcBorders>
              <w:top w:val="single" w:color="auto" w:sz="4" w:space="0"/>
              <w:left w:val="single" w:color="auto" w:sz="4" w:space="0"/>
              <w:bottom w:val="single" w:color="auto" w:sz="4" w:space="0"/>
              <w:right w:val="single" w:color="auto" w:sz="4" w:space="0"/>
            </w:tcBorders>
            <w:vAlign w:val="center"/>
          </w:tcPr>
          <w:p w14:paraId="78216FDC">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w:t>
            </w:r>
          </w:p>
        </w:tc>
        <w:tc>
          <w:tcPr>
            <w:tcW w:w="938" w:type="dxa"/>
            <w:tcBorders>
              <w:top w:val="single" w:color="auto" w:sz="4" w:space="0"/>
              <w:left w:val="single" w:color="auto" w:sz="4" w:space="0"/>
              <w:bottom w:val="single" w:color="auto" w:sz="4" w:space="0"/>
              <w:right w:val="single" w:color="auto" w:sz="4" w:space="0"/>
            </w:tcBorders>
            <w:vAlign w:val="center"/>
          </w:tcPr>
          <w:p w14:paraId="35CD479A">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9.75%</w:t>
            </w:r>
          </w:p>
        </w:tc>
      </w:tr>
      <w:tr w14:paraId="14B9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126DB824">
            <w:pPr>
              <w:widowControl/>
              <w:spacing w:line="240" w:lineRule="exact"/>
              <w:rPr>
                <w:rFonts w:ascii="宋体" w:hAnsi="宋体" w:cs="微软雅黑"/>
                <w:b/>
                <w:sz w:val="18"/>
                <w:szCs w:val="18"/>
              </w:rPr>
            </w:pPr>
          </w:p>
        </w:tc>
        <w:tc>
          <w:tcPr>
            <w:tcW w:w="2291" w:type="dxa"/>
            <w:vMerge w:val="continue"/>
            <w:tcBorders>
              <w:left w:val="single" w:color="auto" w:sz="4" w:space="0"/>
              <w:bottom w:val="single" w:color="auto" w:sz="4" w:space="0"/>
              <w:right w:val="single" w:color="auto" w:sz="4" w:space="0"/>
            </w:tcBorders>
            <w:shd w:val="clear" w:color="auto" w:fill="FFFFFF"/>
            <w:vAlign w:val="center"/>
          </w:tcPr>
          <w:p w14:paraId="163DF9B3">
            <w:pPr>
              <w:adjustRightInd w:val="0"/>
              <w:snapToGrid w:val="0"/>
              <w:spacing w:line="240" w:lineRule="exact"/>
              <w:jc w:val="center"/>
              <w:rPr>
                <w:rFonts w:ascii="宋体" w:hAnsi="宋体" w:cs="微软雅黑"/>
                <w:b/>
                <w:sz w:val="18"/>
                <w:szCs w:val="18"/>
                <w:highlight w:val="yellow"/>
              </w:rPr>
            </w:pPr>
          </w:p>
        </w:tc>
        <w:tc>
          <w:tcPr>
            <w:tcW w:w="983" w:type="dxa"/>
            <w:vMerge w:val="continue"/>
            <w:tcBorders>
              <w:left w:val="single" w:color="auto" w:sz="4" w:space="0"/>
              <w:bottom w:val="single" w:color="auto" w:sz="4" w:space="0"/>
              <w:right w:val="single" w:color="auto" w:sz="4" w:space="0"/>
            </w:tcBorders>
            <w:shd w:val="clear" w:color="auto" w:fill="FFFFFF"/>
            <w:vAlign w:val="center"/>
          </w:tcPr>
          <w:p w14:paraId="62A0F97A">
            <w:pPr>
              <w:adjustRightInd w:val="0"/>
              <w:snapToGrid w:val="0"/>
              <w:spacing w:line="240" w:lineRule="exact"/>
              <w:jc w:val="center"/>
              <w:rPr>
                <w:rFonts w:ascii="宋体" w:hAnsi="宋体" w:cs="微软雅黑"/>
                <w:b/>
                <w:sz w:val="18"/>
                <w:szCs w:val="18"/>
                <w:highlight w:val="yellow"/>
              </w:rPr>
            </w:pPr>
          </w:p>
        </w:tc>
        <w:tc>
          <w:tcPr>
            <w:tcW w:w="899" w:type="dxa"/>
            <w:vMerge w:val="continue"/>
            <w:tcBorders>
              <w:left w:val="single" w:color="auto" w:sz="4" w:space="0"/>
              <w:bottom w:val="single" w:color="auto" w:sz="4" w:space="0"/>
              <w:right w:val="single" w:color="auto" w:sz="4" w:space="0"/>
            </w:tcBorders>
            <w:vAlign w:val="center"/>
          </w:tcPr>
          <w:p w14:paraId="548FB907">
            <w:pPr>
              <w:adjustRightInd w:val="0"/>
              <w:snapToGrid w:val="0"/>
              <w:spacing w:line="240" w:lineRule="exact"/>
              <w:jc w:val="center"/>
              <w:rPr>
                <w:rFonts w:ascii="宋体" w:hAnsi="宋体" w:cs="微软雅黑"/>
                <w:bCs/>
                <w:sz w:val="18"/>
                <w:szCs w:val="18"/>
                <w:highlight w:val="yellow"/>
              </w:rPr>
            </w:pPr>
          </w:p>
        </w:tc>
        <w:tc>
          <w:tcPr>
            <w:tcW w:w="536" w:type="dxa"/>
            <w:vMerge w:val="continue"/>
            <w:tcBorders>
              <w:top w:val="nil"/>
              <w:left w:val="single" w:color="auto" w:sz="4" w:space="0"/>
              <w:bottom w:val="single" w:color="auto" w:sz="4" w:space="0"/>
              <w:right w:val="single" w:color="auto" w:sz="4" w:space="0"/>
            </w:tcBorders>
            <w:vAlign w:val="center"/>
          </w:tcPr>
          <w:p w14:paraId="28BA171D">
            <w:pPr>
              <w:widowControl/>
              <w:spacing w:line="240" w:lineRule="exact"/>
              <w:rPr>
                <w:rFonts w:ascii="宋体" w:hAnsi="宋体" w:cs="微软雅黑"/>
                <w:b/>
                <w:sz w:val="18"/>
                <w:szCs w:val="18"/>
              </w:rPr>
            </w:pPr>
          </w:p>
        </w:tc>
        <w:tc>
          <w:tcPr>
            <w:tcW w:w="1936" w:type="dxa"/>
            <w:tcBorders>
              <w:top w:val="single" w:color="auto" w:sz="4" w:space="0"/>
              <w:left w:val="single" w:color="auto" w:sz="4" w:space="0"/>
              <w:bottom w:val="single" w:color="auto" w:sz="4" w:space="0"/>
              <w:right w:val="single" w:color="auto" w:sz="4" w:space="0"/>
            </w:tcBorders>
            <w:vAlign w:val="center"/>
          </w:tcPr>
          <w:p w14:paraId="061577A6">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合计</w:t>
            </w:r>
          </w:p>
        </w:tc>
        <w:tc>
          <w:tcPr>
            <w:tcW w:w="1000" w:type="dxa"/>
            <w:tcBorders>
              <w:top w:val="single" w:color="auto" w:sz="4" w:space="0"/>
              <w:left w:val="single" w:color="auto" w:sz="4" w:space="0"/>
              <w:bottom w:val="single" w:color="auto" w:sz="4" w:space="0"/>
              <w:right w:val="single" w:color="auto" w:sz="4" w:space="0"/>
            </w:tcBorders>
            <w:vAlign w:val="center"/>
          </w:tcPr>
          <w:p w14:paraId="009BD30E">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41</w:t>
            </w:r>
          </w:p>
        </w:tc>
        <w:tc>
          <w:tcPr>
            <w:tcW w:w="938" w:type="dxa"/>
            <w:tcBorders>
              <w:top w:val="single" w:color="auto" w:sz="4" w:space="0"/>
              <w:left w:val="single" w:color="auto" w:sz="4" w:space="0"/>
              <w:bottom w:val="single" w:color="auto" w:sz="4" w:space="0"/>
              <w:right w:val="single" w:color="auto" w:sz="4" w:space="0"/>
            </w:tcBorders>
            <w:vAlign w:val="center"/>
          </w:tcPr>
          <w:p w14:paraId="74FC78F4">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r>
      <w:tr w14:paraId="35B3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restart"/>
            <w:tcBorders>
              <w:top w:val="nil"/>
              <w:left w:val="single" w:color="auto" w:sz="4" w:space="0"/>
              <w:bottom w:val="single" w:color="auto" w:sz="4" w:space="0"/>
              <w:right w:val="single" w:color="auto" w:sz="4" w:space="0"/>
            </w:tcBorders>
            <w:shd w:val="clear" w:color="auto" w:fill="FFFFFF"/>
            <w:vAlign w:val="center"/>
          </w:tcPr>
          <w:p w14:paraId="1D9A6C9B">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按层次</w:t>
            </w: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48453818">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高层管理</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2285DCFE">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w:t>
            </w:r>
          </w:p>
        </w:tc>
        <w:tc>
          <w:tcPr>
            <w:tcW w:w="899" w:type="dxa"/>
            <w:tcBorders>
              <w:top w:val="single" w:color="auto" w:sz="4" w:space="0"/>
              <w:left w:val="single" w:color="auto" w:sz="4" w:space="0"/>
              <w:bottom w:val="single" w:color="auto" w:sz="4" w:space="0"/>
              <w:right w:val="single" w:color="auto" w:sz="4" w:space="0"/>
            </w:tcBorders>
            <w:vAlign w:val="center"/>
          </w:tcPr>
          <w:p w14:paraId="047BC1D0">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2.43%</w:t>
            </w:r>
          </w:p>
        </w:tc>
        <w:tc>
          <w:tcPr>
            <w:tcW w:w="536" w:type="dxa"/>
            <w:vMerge w:val="restart"/>
            <w:tcBorders>
              <w:top w:val="nil"/>
              <w:left w:val="single" w:color="auto" w:sz="4" w:space="0"/>
              <w:bottom w:val="single" w:color="auto" w:sz="4" w:space="0"/>
              <w:right w:val="single" w:color="auto" w:sz="4" w:space="0"/>
            </w:tcBorders>
            <w:vAlign w:val="center"/>
          </w:tcPr>
          <w:p w14:paraId="1AC6EB42">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按学历</w:t>
            </w:r>
          </w:p>
        </w:tc>
        <w:tc>
          <w:tcPr>
            <w:tcW w:w="1936" w:type="dxa"/>
            <w:tcBorders>
              <w:top w:val="single" w:color="auto" w:sz="4" w:space="0"/>
              <w:left w:val="single" w:color="auto" w:sz="4" w:space="0"/>
              <w:bottom w:val="single" w:color="auto" w:sz="4" w:space="0"/>
              <w:right w:val="single" w:color="auto" w:sz="4" w:space="0"/>
            </w:tcBorders>
            <w:vAlign w:val="center"/>
          </w:tcPr>
          <w:p w14:paraId="5C3BFA46">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硕士</w:t>
            </w:r>
          </w:p>
        </w:tc>
        <w:tc>
          <w:tcPr>
            <w:tcW w:w="1000" w:type="dxa"/>
            <w:tcBorders>
              <w:top w:val="single" w:color="auto" w:sz="4" w:space="0"/>
              <w:left w:val="single" w:color="auto" w:sz="4" w:space="0"/>
              <w:bottom w:val="single" w:color="auto" w:sz="4" w:space="0"/>
              <w:right w:val="single" w:color="auto" w:sz="4" w:space="0"/>
            </w:tcBorders>
            <w:vAlign w:val="center"/>
          </w:tcPr>
          <w:p w14:paraId="03FD2B39">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0</w:t>
            </w:r>
          </w:p>
        </w:tc>
        <w:tc>
          <w:tcPr>
            <w:tcW w:w="938" w:type="dxa"/>
            <w:tcBorders>
              <w:top w:val="single" w:color="auto" w:sz="4" w:space="0"/>
              <w:left w:val="single" w:color="auto" w:sz="4" w:space="0"/>
              <w:bottom w:val="single" w:color="auto" w:sz="4" w:space="0"/>
              <w:right w:val="single" w:color="auto" w:sz="4" w:space="0"/>
            </w:tcBorders>
            <w:vAlign w:val="center"/>
          </w:tcPr>
          <w:p w14:paraId="226FCA61">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r>
      <w:tr w14:paraId="2908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47FC1738">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2D13A2A0">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中层管理</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6552A173">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7</w:t>
            </w:r>
          </w:p>
        </w:tc>
        <w:tc>
          <w:tcPr>
            <w:tcW w:w="899" w:type="dxa"/>
            <w:tcBorders>
              <w:top w:val="single" w:color="auto" w:sz="4" w:space="0"/>
              <w:left w:val="single" w:color="auto" w:sz="4" w:space="0"/>
              <w:bottom w:val="single" w:color="auto" w:sz="4" w:space="0"/>
              <w:right w:val="single" w:color="auto" w:sz="4" w:space="0"/>
            </w:tcBorders>
            <w:vAlign w:val="center"/>
          </w:tcPr>
          <w:p w14:paraId="2E08A400">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17%</w:t>
            </w:r>
          </w:p>
        </w:tc>
        <w:tc>
          <w:tcPr>
            <w:tcW w:w="536" w:type="dxa"/>
            <w:vMerge w:val="continue"/>
            <w:tcBorders>
              <w:top w:val="nil"/>
              <w:left w:val="single" w:color="auto" w:sz="4" w:space="0"/>
              <w:bottom w:val="single" w:color="auto" w:sz="4" w:space="0"/>
              <w:right w:val="single" w:color="auto" w:sz="4" w:space="0"/>
            </w:tcBorders>
            <w:vAlign w:val="center"/>
          </w:tcPr>
          <w:p w14:paraId="1C886B12">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14:paraId="38804790">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大学本科</w:t>
            </w:r>
          </w:p>
        </w:tc>
        <w:tc>
          <w:tcPr>
            <w:tcW w:w="1000" w:type="dxa"/>
            <w:tcBorders>
              <w:top w:val="single" w:color="auto" w:sz="4" w:space="0"/>
              <w:left w:val="single" w:color="auto" w:sz="4" w:space="0"/>
              <w:bottom w:val="single" w:color="auto" w:sz="4" w:space="0"/>
              <w:right w:val="single" w:color="auto" w:sz="4" w:space="0"/>
            </w:tcBorders>
            <w:vAlign w:val="center"/>
          </w:tcPr>
          <w:p w14:paraId="2C4637BB">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5</w:t>
            </w:r>
          </w:p>
        </w:tc>
        <w:tc>
          <w:tcPr>
            <w:tcW w:w="938" w:type="dxa"/>
            <w:tcBorders>
              <w:top w:val="single" w:color="auto" w:sz="4" w:space="0"/>
              <w:left w:val="single" w:color="auto" w:sz="4" w:space="0"/>
              <w:bottom w:val="single" w:color="auto" w:sz="4" w:space="0"/>
              <w:right w:val="single" w:color="auto" w:sz="4" w:space="0"/>
            </w:tcBorders>
            <w:vAlign w:val="center"/>
          </w:tcPr>
          <w:p w14:paraId="1CD4C14D">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12.19%</w:t>
            </w:r>
          </w:p>
        </w:tc>
      </w:tr>
      <w:tr w14:paraId="1AF8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40ADDD82">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6917AC86">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基层管理</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4C428AE3">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w:t>
            </w:r>
          </w:p>
        </w:tc>
        <w:tc>
          <w:tcPr>
            <w:tcW w:w="899" w:type="dxa"/>
            <w:tcBorders>
              <w:top w:val="single" w:color="auto" w:sz="4" w:space="0"/>
              <w:left w:val="single" w:color="auto" w:sz="4" w:space="0"/>
              <w:bottom w:val="single" w:color="auto" w:sz="4" w:space="0"/>
              <w:right w:val="single" w:color="auto" w:sz="4" w:space="0"/>
            </w:tcBorders>
            <w:vAlign w:val="center"/>
          </w:tcPr>
          <w:p w14:paraId="2FD70A1F">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9.75%</w:t>
            </w:r>
          </w:p>
        </w:tc>
        <w:tc>
          <w:tcPr>
            <w:tcW w:w="536" w:type="dxa"/>
            <w:vMerge w:val="continue"/>
            <w:tcBorders>
              <w:top w:val="nil"/>
              <w:left w:val="single" w:color="auto" w:sz="4" w:space="0"/>
              <w:bottom w:val="single" w:color="auto" w:sz="4" w:space="0"/>
              <w:right w:val="single" w:color="auto" w:sz="4" w:space="0"/>
            </w:tcBorders>
            <w:vAlign w:val="center"/>
          </w:tcPr>
          <w:p w14:paraId="67AC1110">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14:paraId="4F178FCB">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大专</w:t>
            </w:r>
          </w:p>
        </w:tc>
        <w:tc>
          <w:tcPr>
            <w:tcW w:w="1000" w:type="dxa"/>
            <w:tcBorders>
              <w:top w:val="single" w:color="auto" w:sz="4" w:space="0"/>
              <w:left w:val="single" w:color="auto" w:sz="4" w:space="0"/>
              <w:bottom w:val="single" w:color="auto" w:sz="4" w:space="0"/>
              <w:right w:val="single" w:color="auto" w:sz="4" w:space="0"/>
            </w:tcBorders>
            <w:vAlign w:val="center"/>
          </w:tcPr>
          <w:p w14:paraId="55F437AF">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20</w:t>
            </w:r>
          </w:p>
        </w:tc>
        <w:tc>
          <w:tcPr>
            <w:tcW w:w="938" w:type="dxa"/>
            <w:tcBorders>
              <w:top w:val="single" w:color="auto" w:sz="4" w:space="0"/>
              <w:left w:val="single" w:color="auto" w:sz="4" w:space="0"/>
              <w:bottom w:val="single" w:color="auto" w:sz="4" w:space="0"/>
              <w:right w:val="single" w:color="auto" w:sz="4" w:space="0"/>
            </w:tcBorders>
            <w:vAlign w:val="center"/>
          </w:tcPr>
          <w:p w14:paraId="150925B8">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48.78%</w:t>
            </w:r>
          </w:p>
        </w:tc>
      </w:tr>
      <w:tr w14:paraId="10FA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5435C419">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2DB0C2BB">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一般员工</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712B5CFE">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29</w:t>
            </w:r>
          </w:p>
        </w:tc>
        <w:tc>
          <w:tcPr>
            <w:tcW w:w="899" w:type="dxa"/>
            <w:tcBorders>
              <w:top w:val="single" w:color="auto" w:sz="4" w:space="0"/>
              <w:left w:val="single" w:color="auto" w:sz="4" w:space="0"/>
              <w:bottom w:val="single" w:color="auto" w:sz="4" w:space="0"/>
              <w:right w:val="single" w:color="auto" w:sz="4" w:space="0"/>
            </w:tcBorders>
            <w:vAlign w:val="center"/>
          </w:tcPr>
          <w:p w14:paraId="279B6D0B">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72%</w:t>
            </w:r>
          </w:p>
        </w:tc>
        <w:tc>
          <w:tcPr>
            <w:tcW w:w="536" w:type="dxa"/>
            <w:vMerge w:val="continue"/>
            <w:tcBorders>
              <w:top w:val="nil"/>
              <w:left w:val="single" w:color="auto" w:sz="4" w:space="0"/>
              <w:bottom w:val="single" w:color="auto" w:sz="4" w:space="0"/>
              <w:right w:val="single" w:color="auto" w:sz="4" w:space="0"/>
            </w:tcBorders>
            <w:vAlign w:val="center"/>
          </w:tcPr>
          <w:p w14:paraId="10B300B6">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14:paraId="3E2F050F">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大专以下</w:t>
            </w:r>
          </w:p>
        </w:tc>
        <w:tc>
          <w:tcPr>
            <w:tcW w:w="1000" w:type="dxa"/>
            <w:tcBorders>
              <w:top w:val="single" w:color="auto" w:sz="4" w:space="0"/>
              <w:left w:val="single" w:color="auto" w:sz="4" w:space="0"/>
              <w:bottom w:val="single" w:color="auto" w:sz="4" w:space="0"/>
              <w:right w:val="single" w:color="auto" w:sz="4" w:space="0"/>
            </w:tcBorders>
            <w:vAlign w:val="center"/>
          </w:tcPr>
          <w:p w14:paraId="2CE1DA1B">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16</w:t>
            </w:r>
          </w:p>
        </w:tc>
        <w:tc>
          <w:tcPr>
            <w:tcW w:w="938" w:type="dxa"/>
            <w:tcBorders>
              <w:top w:val="single" w:color="auto" w:sz="4" w:space="0"/>
              <w:left w:val="single" w:color="auto" w:sz="4" w:space="0"/>
              <w:bottom w:val="single" w:color="auto" w:sz="4" w:space="0"/>
              <w:right w:val="single" w:color="auto" w:sz="4" w:space="0"/>
            </w:tcBorders>
            <w:vAlign w:val="center"/>
          </w:tcPr>
          <w:p w14:paraId="6F79067D">
            <w:pPr>
              <w:adjustRightInd w:val="0"/>
              <w:snapToGrid w:val="0"/>
              <w:spacing w:line="240" w:lineRule="exact"/>
              <w:jc w:val="center"/>
              <w:rPr>
                <w:rFonts w:ascii="宋体" w:hAnsi="宋体" w:cs="微软雅黑"/>
                <w:bCs/>
                <w:sz w:val="18"/>
                <w:szCs w:val="18"/>
              </w:rPr>
            </w:pPr>
            <w:r>
              <w:rPr>
                <w:rFonts w:hint="eastAsia" w:ascii="宋体" w:hAnsi="宋体" w:cs="微软雅黑"/>
                <w:bCs/>
                <w:sz w:val="18"/>
                <w:szCs w:val="18"/>
              </w:rPr>
              <w:t>39.02%</w:t>
            </w:r>
          </w:p>
        </w:tc>
      </w:tr>
      <w:tr w14:paraId="4CB6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555" w:type="dxa"/>
            <w:vMerge w:val="continue"/>
            <w:tcBorders>
              <w:top w:val="nil"/>
              <w:left w:val="single" w:color="auto" w:sz="4" w:space="0"/>
              <w:bottom w:val="single" w:color="auto" w:sz="4" w:space="0"/>
              <w:right w:val="single" w:color="auto" w:sz="4" w:space="0"/>
            </w:tcBorders>
            <w:shd w:val="clear" w:color="auto" w:fill="auto"/>
            <w:vAlign w:val="center"/>
          </w:tcPr>
          <w:p w14:paraId="003AF354">
            <w:pPr>
              <w:widowControl/>
              <w:spacing w:line="240" w:lineRule="exact"/>
              <w:rPr>
                <w:rFonts w:ascii="宋体" w:hAnsi="宋体" w:cs="微软雅黑"/>
                <w:bCs/>
                <w:sz w:val="18"/>
                <w:szCs w:val="18"/>
              </w:rPr>
            </w:pPr>
          </w:p>
        </w:tc>
        <w:tc>
          <w:tcPr>
            <w:tcW w:w="2291" w:type="dxa"/>
            <w:tcBorders>
              <w:top w:val="single" w:color="auto" w:sz="4" w:space="0"/>
              <w:left w:val="single" w:color="auto" w:sz="4" w:space="0"/>
              <w:bottom w:val="single" w:color="auto" w:sz="4" w:space="0"/>
              <w:right w:val="single" w:color="auto" w:sz="4" w:space="0"/>
            </w:tcBorders>
            <w:shd w:val="clear" w:color="auto" w:fill="FFFFFF"/>
            <w:vAlign w:val="center"/>
          </w:tcPr>
          <w:p w14:paraId="70958347">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合计</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14:paraId="32DA299D">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41</w:t>
            </w:r>
          </w:p>
        </w:tc>
        <w:tc>
          <w:tcPr>
            <w:tcW w:w="899" w:type="dxa"/>
            <w:tcBorders>
              <w:top w:val="single" w:color="auto" w:sz="4" w:space="0"/>
              <w:left w:val="single" w:color="auto" w:sz="4" w:space="0"/>
              <w:bottom w:val="single" w:color="auto" w:sz="4" w:space="0"/>
              <w:right w:val="single" w:color="auto" w:sz="4" w:space="0"/>
            </w:tcBorders>
            <w:vAlign w:val="center"/>
          </w:tcPr>
          <w:p w14:paraId="767B46C5">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c>
          <w:tcPr>
            <w:tcW w:w="536" w:type="dxa"/>
            <w:vMerge w:val="continue"/>
            <w:tcBorders>
              <w:top w:val="nil"/>
              <w:left w:val="single" w:color="auto" w:sz="4" w:space="0"/>
              <w:bottom w:val="single" w:color="auto" w:sz="4" w:space="0"/>
              <w:right w:val="single" w:color="auto" w:sz="4" w:space="0"/>
            </w:tcBorders>
            <w:vAlign w:val="center"/>
          </w:tcPr>
          <w:p w14:paraId="7256F27E">
            <w:pPr>
              <w:widowControl/>
              <w:spacing w:line="240" w:lineRule="exact"/>
              <w:rPr>
                <w:rFonts w:ascii="宋体" w:hAnsi="宋体" w:cs="微软雅黑"/>
                <w:bCs/>
                <w:sz w:val="18"/>
                <w:szCs w:val="18"/>
                <w:highlight w:val="yellow"/>
              </w:rPr>
            </w:pPr>
          </w:p>
        </w:tc>
        <w:tc>
          <w:tcPr>
            <w:tcW w:w="1936" w:type="dxa"/>
            <w:tcBorders>
              <w:top w:val="single" w:color="auto" w:sz="4" w:space="0"/>
              <w:left w:val="single" w:color="auto" w:sz="4" w:space="0"/>
              <w:bottom w:val="single" w:color="auto" w:sz="4" w:space="0"/>
              <w:right w:val="single" w:color="auto" w:sz="4" w:space="0"/>
            </w:tcBorders>
            <w:vAlign w:val="center"/>
          </w:tcPr>
          <w:p w14:paraId="0CA1C097">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合计</w:t>
            </w:r>
          </w:p>
        </w:tc>
        <w:tc>
          <w:tcPr>
            <w:tcW w:w="1000" w:type="dxa"/>
            <w:tcBorders>
              <w:top w:val="single" w:color="auto" w:sz="4" w:space="0"/>
              <w:left w:val="single" w:color="auto" w:sz="4" w:space="0"/>
              <w:bottom w:val="single" w:color="auto" w:sz="4" w:space="0"/>
              <w:right w:val="single" w:color="auto" w:sz="4" w:space="0"/>
            </w:tcBorders>
            <w:vAlign w:val="center"/>
          </w:tcPr>
          <w:p w14:paraId="34661B3A">
            <w:pPr>
              <w:adjustRightInd w:val="0"/>
              <w:snapToGrid w:val="0"/>
              <w:spacing w:line="240" w:lineRule="exact"/>
              <w:jc w:val="center"/>
              <w:rPr>
                <w:rFonts w:ascii="宋体" w:hAnsi="宋体" w:cs="微软雅黑"/>
                <w:b/>
                <w:sz w:val="18"/>
                <w:szCs w:val="18"/>
              </w:rPr>
            </w:pPr>
            <w:r>
              <w:rPr>
                <w:rFonts w:hint="eastAsia" w:ascii="宋体" w:hAnsi="宋体" w:cs="微软雅黑"/>
                <w:b/>
                <w:sz w:val="18"/>
                <w:szCs w:val="18"/>
              </w:rPr>
              <w:t>41</w:t>
            </w:r>
          </w:p>
        </w:tc>
        <w:tc>
          <w:tcPr>
            <w:tcW w:w="938" w:type="dxa"/>
            <w:tcBorders>
              <w:top w:val="single" w:color="auto" w:sz="4" w:space="0"/>
              <w:left w:val="single" w:color="auto" w:sz="4" w:space="0"/>
              <w:bottom w:val="single" w:color="auto" w:sz="4" w:space="0"/>
              <w:right w:val="single" w:color="auto" w:sz="4" w:space="0"/>
            </w:tcBorders>
            <w:vAlign w:val="center"/>
          </w:tcPr>
          <w:p w14:paraId="4C2F46A7">
            <w:pPr>
              <w:adjustRightInd w:val="0"/>
              <w:snapToGrid w:val="0"/>
              <w:spacing w:line="240" w:lineRule="exact"/>
              <w:jc w:val="center"/>
              <w:rPr>
                <w:rFonts w:ascii="宋体" w:hAnsi="宋体" w:cs="微软雅黑"/>
                <w:bCs/>
                <w:sz w:val="18"/>
                <w:szCs w:val="18"/>
              </w:rPr>
            </w:pPr>
            <w:r>
              <w:rPr>
                <w:rFonts w:hint="eastAsia" w:ascii="宋体" w:hAnsi="宋体"/>
                <w:sz w:val="18"/>
                <w:szCs w:val="18"/>
              </w:rPr>
              <w:t>/</w:t>
            </w:r>
          </w:p>
        </w:tc>
      </w:tr>
    </w:tbl>
    <w:p w14:paraId="20B95AF9">
      <w:pPr>
        <w:widowControl/>
        <w:spacing w:line="300" w:lineRule="auto"/>
        <w:jc w:val="left"/>
        <w:rPr>
          <w:rFonts w:ascii="宋体" w:hAnsi="宋体"/>
          <w:b/>
          <w:szCs w:val="21"/>
        </w:rPr>
      </w:pPr>
    </w:p>
    <w:p w14:paraId="01E3C42C">
      <w:pPr>
        <w:pStyle w:val="2"/>
        <w:numPr>
          <w:ilvl w:val="0"/>
          <w:numId w:val="1"/>
        </w:numPr>
        <w:tabs>
          <w:tab w:val="left" w:pos="567"/>
        </w:tabs>
        <w:spacing w:before="0" w:after="0" w:line="300" w:lineRule="auto"/>
        <w:ind w:left="0" w:firstLine="0"/>
        <w:jc w:val="left"/>
        <w:rPr>
          <w:rFonts w:ascii="宋体" w:hAnsi="宋体"/>
          <w:sz w:val="32"/>
          <w:szCs w:val="32"/>
        </w:rPr>
      </w:pPr>
      <w:bookmarkStart w:id="20" w:name="_Toc47951661"/>
      <w:r>
        <w:rPr>
          <w:rFonts w:hint="eastAsia" w:ascii="宋体" w:hAnsi="宋体"/>
          <w:sz w:val="32"/>
          <w:szCs w:val="32"/>
        </w:rPr>
        <w:t>主要产品和服务</w:t>
      </w:r>
      <w:bookmarkEnd w:id="19"/>
      <w:bookmarkEnd w:id="20"/>
      <w:r>
        <w:rPr>
          <w:rFonts w:hint="eastAsia" w:ascii="宋体" w:hAnsi="宋体"/>
          <w:sz w:val="32"/>
          <w:szCs w:val="32"/>
        </w:rPr>
        <w:tab/>
      </w:r>
    </w:p>
    <w:p w14:paraId="19E98AED">
      <w:pPr>
        <w:pStyle w:val="3"/>
        <w:numPr>
          <w:ilvl w:val="0"/>
          <w:numId w:val="3"/>
        </w:numPr>
        <w:spacing w:before="0" w:after="0" w:line="300" w:lineRule="auto"/>
        <w:ind w:left="0" w:firstLine="0"/>
        <w:rPr>
          <w:sz w:val="28"/>
          <w:szCs w:val="28"/>
        </w:rPr>
      </w:pPr>
      <w:bookmarkStart w:id="21" w:name="_Toc47951662"/>
      <w:r>
        <w:rPr>
          <w:rFonts w:hint="eastAsia"/>
          <w:sz w:val="28"/>
          <w:szCs w:val="28"/>
        </w:rPr>
        <w:t>主要产品与服务的交付方式</w:t>
      </w:r>
      <w:bookmarkEnd w:id="21"/>
    </w:p>
    <w:p w14:paraId="2F836FC1">
      <w:pPr>
        <w:spacing w:line="300" w:lineRule="auto"/>
        <w:ind w:firstLine="480" w:firstLineChars="200"/>
        <w:rPr>
          <w:rFonts w:ascii="宋体" w:hAnsi="宋体"/>
          <w:sz w:val="24"/>
          <w:szCs w:val="24"/>
        </w:rPr>
      </w:pPr>
      <w:r>
        <w:rPr>
          <w:rFonts w:hint="eastAsia" w:ascii="宋体" w:hAnsi="宋体"/>
          <w:sz w:val="24"/>
          <w:szCs w:val="24"/>
        </w:rPr>
        <w:t>浙江三思永恒</w:t>
      </w:r>
      <w:r>
        <w:rPr>
          <w:rFonts w:hint="eastAsia" w:cs="微软雅黑" w:asciiTheme="minorEastAsia" w:hAnsiTheme="minorEastAsia"/>
          <w:sz w:val="24"/>
          <w:szCs w:val="24"/>
        </w:rPr>
        <w:t>所制造的各种“</w:t>
      </w:r>
      <w:r>
        <w:rPr>
          <w:rFonts w:cs="微软雅黑" w:asciiTheme="minorEastAsia" w:hAnsiTheme="minorEastAsia"/>
          <w:sz w:val="24"/>
          <w:szCs w:val="24"/>
        </w:rPr>
        <w:t>试验机</w:t>
      </w:r>
      <w:r>
        <w:rPr>
          <w:rFonts w:hint="eastAsia" w:cs="微软雅黑" w:asciiTheme="minorEastAsia" w:hAnsiTheme="minorEastAsia"/>
          <w:sz w:val="24"/>
          <w:szCs w:val="24"/>
        </w:rPr>
        <w:t>”“检测仪器”等产品以直接销售的方式向最终顾客交货，售后服务则由三思永恒科技（浙江）有限公司直接提供，以满足不同顾客的需求</w:t>
      </w:r>
      <w:r>
        <w:rPr>
          <w:rFonts w:hint="eastAsia" w:ascii="宋体" w:hAnsi="宋体"/>
          <w:sz w:val="24"/>
          <w:szCs w:val="24"/>
        </w:rPr>
        <w:t>。公司产品型式与交付方式详见表2。</w:t>
      </w:r>
    </w:p>
    <w:p w14:paraId="60631ECC">
      <w:pPr>
        <w:widowControl/>
        <w:spacing w:line="300" w:lineRule="auto"/>
        <w:jc w:val="left"/>
        <w:rPr>
          <w:rFonts w:ascii="宋体" w:hAnsi="宋体"/>
          <w:b/>
          <w:szCs w:val="21"/>
        </w:rPr>
      </w:pPr>
      <w:r>
        <w:rPr>
          <w:rFonts w:hint="eastAsia" w:ascii="宋体" w:hAnsi="宋体"/>
          <w:b/>
          <w:szCs w:val="21"/>
        </w:rPr>
        <w:t>表 2                             产品型式与交付方式</w:t>
      </w:r>
    </w:p>
    <w:tbl>
      <w:tblPr>
        <w:tblStyle w:val="17"/>
        <w:tblW w:w="9032" w:type="dxa"/>
        <w:jc w:val="center"/>
        <w:tblLayout w:type="fixed"/>
        <w:tblCellMar>
          <w:top w:w="15" w:type="dxa"/>
          <w:left w:w="15" w:type="dxa"/>
          <w:bottom w:w="15" w:type="dxa"/>
          <w:right w:w="15" w:type="dxa"/>
        </w:tblCellMar>
      </w:tblPr>
      <w:tblGrid>
        <w:gridCol w:w="647"/>
        <w:gridCol w:w="2610"/>
        <w:gridCol w:w="2268"/>
        <w:gridCol w:w="3507"/>
      </w:tblGrid>
      <w:tr w14:paraId="7528FBFE">
        <w:tblPrEx>
          <w:tblCellMar>
            <w:top w:w="15" w:type="dxa"/>
            <w:left w:w="15" w:type="dxa"/>
            <w:bottom w:w="15" w:type="dxa"/>
            <w:right w:w="15" w:type="dxa"/>
          </w:tblCellMar>
        </w:tblPrEx>
        <w:trPr>
          <w:trHeight w:val="348" w:hRule="atLeast"/>
          <w:jc w:val="center"/>
        </w:trPr>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40EDA83B">
            <w:pPr>
              <w:pStyle w:val="61"/>
              <w:adjustRightInd w:val="0"/>
              <w:snapToGrid w:val="0"/>
              <w:spacing w:before="78" w:beforeLines="25" w:after="78" w:afterLines="25"/>
              <w:ind w:firstLine="0" w:firstLineChars="0"/>
              <w:jc w:val="center"/>
              <w:rPr>
                <w:rFonts w:ascii="宋体" w:hAnsi="宋体" w:cs="微软雅黑"/>
                <w:b/>
                <w:bCs/>
                <w:szCs w:val="21"/>
              </w:rPr>
            </w:pPr>
            <w:r>
              <w:rPr>
                <w:rFonts w:ascii="宋体" w:hAnsi="宋体" w:cs="微软雅黑"/>
                <w:b/>
                <w:bCs/>
                <w:szCs w:val="21"/>
              </w:rPr>
              <w:t>类别</w:t>
            </w:r>
          </w:p>
        </w:tc>
        <w:tc>
          <w:tcPr>
            <w:tcW w:w="2610" w:type="dxa"/>
            <w:tcBorders>
              <w:top w:val="single" w:color="auto" w:sz="4" w:space="0"/>
              <w:left w:val="single" w:color="auto" w:sz="4" w:space="0"/>
              <w:bottom w:val="single" w:color="auto" w:sz="4" w:space="0"/>
              <w:right w:val="single" w:color="auto" w:sz="4" w:space="0"/>
            </w:tcBorders>
            <w:shd w:val="clear" w:color="auto" w:fill="auto"/>
            <w:vAlign w:val="center"/>
          </w:tcPr>
          <w:p w14:paraId="785BB42D">
            <w:pPr>
              <w:pStyle w:val="61"/>
              <w:adjustRightInd w:val="0"/>
              <w:snapToGrid w:val="0"/>
              <w:spacing w:before="78" w:beforeLines="25" w:after="78" w:afterLines="25"/>
              <w:ind w:firstLine="0" w:firstLineChars="0"/>
              <w:jc w:val="center"/>
              <w:rPr>
                <w:rFonts w:ascii="宋体" w:hAnsi="宋体" w:cs="微软雅黑"/>
                <w:b/>
                <w:bCs/>
                <w:szCs w:val="21"/>
              </w:rPr>
            </w:pPr>
            <w:r>
              <w:rPr>
                <w:rFonts w:ascii="宋体" w:hAnsi="宋体" w:cs="微软雅黑"/>
                <w:b/>
                <w:bCs/>
                <w:szCs w:val="21"/>
              </w:rPr>
              <w:t>产品</w:t>
            </w:r>
            <w:r>
              <w:rPr>
                <w:rFonts w:hint="eastAsia" w:ascii="宋体" w:hAnsi="宋体" w:cs="微软雅黑"/>
                <w:b/>
                <w:bCs/>
                <w:szCs w:val="21"/>
              </w:rPr>
              <w:t>用途</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711C0CE5">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使用领域</w:t>
            </w:r>
          </w:p>
        </w:tc>
        <w:tc>
          <w:tcPr>
            <w:tcW w:w="3507" w:type="dxa"/>
            <w:tcBorders>
              <w:top w:val="single" w:color="auto" w:sz="4" w:space="0"/>
              <w:left w:val="single" w:color="auto" w:sz="4" w:space="0"/>
              <w:bottom w:val="single" w:color="auto" w:sz="4" w:space="0"/>
              <w:right w:val="single" w:color="auto" w:sz="4" w:space="0"/>
            </w:tcBorders>
            <w:shd w:val="clear" w:color="auto" w:fill="auto"/>
            <w:vAlign w:val="center"/>
          </w:tcPr>
          <w:p w14:paraId="5C27926B">
            <w:pPr>
              <w:pStyle w:val="61"/>
              <w:adjustRightInd w:val="0"/>
              <w:snapToGrid w:val="0"/>
              <w:spacing w:before="78" w:beforeLines="25" w:after="78" w:afterLines="25"/>
              <w:ind w:firstLine="0" w:firstLineChars="0"/>
              <w:jc w:val="center"/>
              <w:rPr>
                <w:rFonts w:ascii="宋体" w:hAnsi="宋体" w:cs="微软雅黑"/>
                <w:b/>
                <w:bCs/>
                <w:szCs w:val="21"/>
              </w:rPr>
            </w:pPr>
            <w:r>
              <w:rPr>
                <w:rFonts w:ascii="宋体" w:hAnsi="宋体" w:cs="微软雅黑"/>
                <w:b/>
                <w:bCs/>
                <w:szCs w:val="21"/>
              </w:rPr>
              <w:t>交付方式</w:t>
            </w:r>
          </w:p>
        </w:tc>
      </w:tr>
      <w:tr w14:paraId="017ED445">
        <w:tblPrEx>
          <w:tblCellMar>
            <w:top w:w="15" w:type="dxa"/>
            <w:left w:w="15" w:type="dxa"/>
            <w:bottom w:w="15" w:type="dxa"/>
            <w:right w:w="15" w:type="dxa"/>
          </w:tblCellMar>
        </w:tblPrEx>
        <w:trPr>
          <w:trHeight w:val="1510"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40583968">
            <w:pPr>
              <w:widowControl/>
              <w:jc w:val="center"/>
              <w:rPr>
                <w:rFonts w:ascii="宋体" w:hAnsi="宋体"/>
                <w:sz w:val="18"/>
                <w:szCs w:val="18"/>
              </w:rPr>
            </w:pPr>
            <w:r>
              <w:rPr>
                <w:rFonts w:hint="eastAsia" w:ascii="宋体" w:hAnsi="宋体"/>
                <w:sz w:val="18"/>
                <w:szCs w:val="18"/>
              </w:rPr>
              <w:t>试验机</w:t>
            </w:r>
          </w:p>
          <w:p w14:paraId="139F279F">
            <w:pPr>
              <w:widowControl/>
              <w:jc w:val="center"/>
              <w:rPr>
                <w:rFonts w:ascii="宋体" w:hAnsi="宋体"/>
                <w:sz w:val="18"/>
                <w:szCs w:val="18"/>
                <w:highlight w:val="yellow"/>
              </w:rPr>
            </w:pPr>
            <w:r>
              <w:rPr>
                <w:rFonts w:hint="eastAsia" w:ascii="宋体" w:hAnsi="宋体"/>
                <w:sz w:val="18"/>
                <w:szCs w:val="18"/>
              </w:rPr>
              <w:t>及各类检测仪器</w:t>
            </w:r>
          </w:p>
        </w:tc>
        <w:tc>
          <w:tcPr>
            <w:tcW w:w="2610" w:type="dxa"/>
            <w:tcBorders>
              <w:top w:val="single" w:color="auto" w:sz="4" w:space="0"/>
              <w:left w:val="single" w:color="auto" w:sz="4" w:space="0"/>
              <w:bottom w:val="single" w:color="auto" w:sz="4" w:space="0"/>
              <w:right w:val="single" w:color="auto" w:sz="4" w:space="0"/>
            </w:tcBorders>
            <w:vAlign w:val="center"/>
          </w:tcPr>
          <w:p w14:paraId="5BBFB442">
            <w:pPr>
              <w:widowControl/>
              <w:rPr>
                <w:rFonts w:ascii="宋体" w:hAnsi="宋体"/>
                <w:sz w:val="18"/>
                <w:szCs w:val="18"/>
                <w:highlight w:val="yellow"/>
              </w:rPr>
            </w:pPr>
            <w:r>
              <w:rPr>
                <w:rFonts w:ascii="宋体" w:hAnsi="宋体"/>
                <w:sz w:val="18"/>
                <w:szCs w:val="18"/>
              </w:rPr>
              <w:t>试验机主要是用于测量材料或产品的物理性能,比如:钢材的屈服强度、抗拉强度,管材的静液压时间测定,门窗的疲劳寿命等</w:t>
            </w:r>
          </w:p>
        </w:tc>
        <w:tc>
          <w:tcPr>
            <w:tcW w:w="2268" w:type="dxa"/>
            <w:tcBorders>
              <w:top w:val="single" w:color="auto" w:sz="4" w:space="0"/>
              <w:left w:val="single" w:color="auto" w:sz="4" w:space="0"/>
              <w:bottom w:val="single" w:color="auto" w:sz="4" w:space="0"/>
              <w:right w:val="single" w:color="auto" w:sz="4" w:space="0"/>
            </w:tcBorders>
            <w:vAlign w:val="center"/>
          </w:tcPr>
          <w:p w14:paraId="64733C57">
            <w:pPr>
              <w:widowControl/>
              <w:rPr>
                <w:rFonts w:ascii="宋体" w:hAnsi="宋体"/>
                <w:sz w:val="18"/>
                <w:szCs w:val="18"/>
                <w:highlight w:val="yellow"/>
              </w:rPr>
            </w:pPr>
            <w:r>
              <w:rPr>
                <w:rFonts w:hint="eastAsia" w:ascii="宋体" w:hAnsi="宋体"/>
                <w:sz w:val="18"/>
                <w:szCs w:val="18"/>
              </w:rPr>
              <w:t>产品应用于汽车，手机、电子电器、医疗、光伏、造纸、纺织、路桥、新材料、科研院校、检验检疫等领域</w:t>
            </w:r>
          </w:p>
        </w:tc>
        <w:tc>
          <w:tcPr>
            <w:tcW w:w="3507" w:type="dxa"/>
            <w:tcBorders>
              <w:top w:val="single" w:color="auto" w:sz="4" w:space="0"/>
              <w:left w:val="single" w:color="auto" w:sz="4" w:space="0"/>
              <w:bottom w:val="single" w:color="auto" w:sz="4" w:space="0"/>
              <w:right w:val="single" w:color="auto" w:sz="4" w:space="0"/>
            </w:tcBorders>
            <w:vAlign w:val="center"/>
          </w:tcPr>
          <w:p w14:paraId="33DEB2D1">
            <w:pPr>
              <w:pStyle w:val="55"/>
              <w:widowControl/>
              <w:tabs>
                <w:tab w:val="left" w:pos="269"/>
              </w:tabs>
              <w:ind w:firstLine="360"/>
              <w:jc w:val="left"/>
              <w:rPr>
                <w:rFonts w:ascii="宋体" w:hAnsi="宋体"/>
                <w:sz w:val="18"/>
                <w:szCs w:val="18"/>
              </w:rPr>
            </w:pPr>
            <w:r>
              <w:rPr>
                <w:rFonts w:hint="eastAsia" w:ascii="宋体" w:hAnsi="宋体"/>
                <w:sz w:val="18"/>
                <w:szCs w:val="18"/>
              </w:rPr>
              <w:t>公司在各地设计销售中心，配备有专业的销售和服务队伍，采用直接销售方式交付客户；</w:t>
            </w:r>
          </w:p>
        </w:tc>
      </w:tr>
    </w:tbl>
    <w:p w14:paraId="167A584D">
      <w:pPr>
        <w:pStyle w:val="3"/>
        <w:numPr>
          <w:ilvl w:val="0"/>
          <w:numId w:val="3"/>
        </w:numPr>
        <w:spacing w:before="0" w:after="0" w:line="300" w:lineRule="auto"/>
        <w:ind w:left="0" w:firstLine="0"/>
        <w:rPr>
          <w:sz w:val="28"/>
          <w:szCs w:val="28"/>
        </w:rPr>
      </w:pPr>
      <w:bookmarkStart w:id="22" w:name="_Toc47951663"/>
      <w:r>
        <w:rPr>
          <w:rFonts w:hint="eastAsia"/>
          <w:sz w:val="28"/>
          <w:szCs w:val="28"/>
        </w:rPr>
        <w:t>顾客需求了解方式</w:t>
      </w:r>
      <w:bookmarkEnd w:id="22"/>
    </w:p>
    <w:p w14:paraId="6E9A35F8">
      <w:pPr>
        <w:spacing w:line="300" w:lineRule="auto"/>
        <w:ind w:firstLine="480" w:firstLineChars="200"/>
        <w:rPr>
          <w:rFonts w:ascii="宋体" w:hAnsi="宋体"/>
          <w:sz w:val="24"/>
          <w:szCs w:val="24"/>
        </w:rPr>
      </w:pPr>
      <w:r>
        <w:rPr>
          <w:rFonts w:hint="eastAsia" w:ascii="宋体" w:hAnsi="宋体"/>
          <w:sz w:val="24"/>
          <w:szCs w:val="24"/>
        </w:rPr>
        <w:t>浙江三思永恒通过顾客拜访、邮件沟通、网络媒体公开信息、网站杂志、市场调研、销售、售后类等渠道了解国内消费趋势，根据不同消费需求研发新品，适应市场需求。</w:t>
      </w:r>
    </w:p>
    <w:p w14:paraId="2D156D8C">
      <w:pPr>
        <w:pStyle w:val="2"/>
        <w:numPr>
          <w:ilvl w:val="0"/>
          <w:numId w:val="1"/>
        </w:numPr>
        <w:tabs>
          <w:tab w:val="left" w:pos="567"/>
        </w:tabs>
        <w:spacing w:before="0" w:after="0" w:line="300" w:lineRule="auto"/>
        <w:ind w:left="0" w:firstLine="0"/>
        <w:jc w:val="left"/>
        <w:rPr>
          <w:rFonts w:ascii="宋体" w:hAnsi="宋体"/>
          <w:sz w:val="32"/>
          <w:szCs w:val="32"/>
        </w:rPr>
      </w:pPr>
      <w:bookmarkStart w:id="23" w:name="_Toc47951664"/>
      <w:bookmarkStart w:id="24" w:name="_Toc8221282"/>
      <w:r>
        <w:rPr>
          <w:rFonts w:hint="eastAsia" w:ascii="宋体" w:hAnsi="宋体"/>
          <w:sz w:val="32"/>
          <w:szCs w:val="32"/>
        </w:rPr>
        <w:t>主要技术和设备设施</w:t>
      </w:r>
      <w:bookmarkEnd w:id="23"/>
      <w:bookmarkEnd w:id="24"/>
    </w:p>
    <w:p w14:paraId="2A18507A">
      <w:pPr>
        <w:pStyle w:val="55"/>
        <w:spacing w:line="300" w:lineRule="auto"/>
        <w:ind w:firstLine="480"/>
        <w:rPr>
          <w:rFonts w:ascii="宋体" w:hAnsi="宋体"/>
          <w:sz w:val="24"/>
          <w:szCs w:val="24"/>
        </w:rPr>
      </w:pPr>
      <w:r>
        <w:rPr>
          <w:rFonts w:hint="eastAsia" w:ascii="宋体" w:hAnsi="宋体"/>
          <w:sz w:val="24"/>
          <w:szCs w:val="24"/>
        </w:rPr>
        <w:t xml:space="preserve">浙江三思永恒在技术水平上定位于国内先进水平，注重产品研发，时刻关注试验机行业前沿技术研究，为顾客提供最新产品。三思永恒科技（浙江）有限公司近三年每年投入 </w:t>
      </w:r>
      <w:r>
        <w:rPr>
          <w:rFonts w:ascii="宋体" w:hAnsi="宋体"/>
          <w:sz w:val="24"/>
          <w:szCs w:val="24"/>
        </w:rPr>
        <w:t>10</w:t>
      </w:r>
      <w:r>
        <w:rPr>
          <w:rFonts w:hint="eastAsia" w:ascii="宋体" w:hAnsi="宋体"/>
          <w:sz w:val="24"/>
          <w:szCs w:val="24"/>
        </w:rPr>
        <w:t>%以上销售收入用于技术创新，近三年累计投入约</w:t>
      </w:r>
      <w:bookmarkStart w:id="25" w:name="_Hlk122205474"/>
      <w:r>
        <w:rPr>
          <w:rFonts w:ascii="宋体" w:hAnsi="宋体"/>
          <w:sz w:val="24"/>
          <w:szCs w:val="24"/>
        </w:rPr>
        <w:t>718.28</w:t>
      </w:r>
      <w:r>
        <w:rPr>
          <w:rFonts w:hint="eastAsia" w:ascii="宋体" w:hAnsi="宋体"/>
          <w:sz w:val="24"/>
          <w:szCs w:val="24"/>
        </w:rPr>
        <w:t>万元</w:t>
      </w:r>
      <w:bookmarkEnd w:id="25"/>
      <w:r>
        <w:rPr>
          <w:rFonts w:hint="eastAsia" w:ascii="宋体" w:hAnsi="宋体"/>
          <w:sz w:val="24"/>
          <w:szCs w:val="24"/>
        </w:rPr>
        <w:t>。现今有效的发明专利</w:t>
      </w:r>
      <w:r>
        <w:rPr>
          <w:rFonts w:ascii="宋体" w:hAnsi="宋体"/>
          <w:sz w:val="24"/>
          <w:szCs w:val="24"/>
        </w:rPr>
        <w:t>2</w:t>
      </w:r>
      <w:r>
        <w:rPr>
          <w:rFonts w:hint="eastAsia" w:ascii="宋体" w:hAnsi="宋体"/>
          <w:sz w:val="24"/>
          <w:szCs w:val="24"/>
        </w:rPr>
        <w:t>项，实用新型专利</w:t>
      </w:r>
      <w:r>
        <w:rPr>
          <w:rFonts w:ascii="宋体" w:hAnsi="宋体"/>
          <w:sz w:val="24"/>
          <w:szCs w:val="24"/>
        </w:rPr>
        <w:t>8</w:t>
      </w:r>
      <w:r>
        <w:rPr>
          <w:rFonts w:hint="eastAsia" w:ascii="宋体" w:hAnsi="宋体"/>
          <w:sz w:val="24"/>
          <w:szCs w:val="24"/>
        </w:rPr>
        <w:t>项，外观专利</w:t>
      </w:r>
      <w:r>
        <w:rPr>
          <w:rFonts w:ascii="宋体" w:hAnsi="宋体"/>
          <w:sz w:val="24"/>
          <w:szCs w:val="24"/>
        </w:rPr>
        <w:t>1</w:t>
      </w:r>
      <w:r>
        <w:rPr>
          <w:rFonts w:hint="eastAsia" w:ascii="宋体" w:hAnsi="宋体"/>
          <w:sz w:val="24"/>
          <w:szCs w:val="24"/>
        </w:rPr>
        <w:t>项，软著1</w:t>
      </w:r>
      <w:r>
        <w:rPr>
          <w:rFonts w:ascii="宋体" w:hAnsi="宋体"/>
          <w:sz w:val="24"/>
          <w:szCs w:val="24"/>
        </w:rPr>
        <w:t>3</w:t>
      </w:r>
      <w:r>
        <w:rPr>
          <w:rFonts w:hint="eastAsia" w:ascii="宋体" w:hAnsi="宋体"/>
          <w:sz w:val="24"/>
          <w:szCs w:val="24"/>
        </w:rPr>
        <w:t>项。</w:t>
      </w:r>
    </w:p>
    <w:p w14:paraId="01D43024">
      <w:pPr>
        <w:pStyle w:val="3"/>
        <w:numPr>
          <w:ilvl w:val="0"/>
          <w:numId w:val="4"/>
        </w:numPr>
        <w:spacing w:before="0" w:after="0" w:line="300" w:lineRule="auto"/>
        <w:rPr>
          <w:sz w:val="28"/>
          <w:szCs w:val="28"/>
        </w:rPr>
      </w:pPr>
      <w:bookmarkStart w:id="26" w:name="_Toc47951665"/>
      <w:r>
        <w:rPr>
          <w:rFonts w:hint="eastAsia"/>
          <w:sz w:val="28"/>
          <w:szCs w:val="28"/>
        </w:rPr>
        <w:t>生产设备</w:t>
      </w:r>
      <w:bookmarkEnd w:id="26"/>
    </w:p>
    <w:p w14:paraId="4447840F">
      <w:pPr>
        <w:spacing w:line="300" w:lineRule="auto"/>
        <w:ind w:firstLine="480" w:firstLineChars="200"/>
        <w:rPr>
          <w:rFonts w:ascii="宋体" w:hAnsi="宋体"/>
          <w:sz w:val="24"/>
          <w:szCs w:val="24"/>
        </w:rPr>
      </w:pPr>
      <w:bookmarkStart w:id="27" w:name="_Hlk122204517"/>
      <w:r>
        <w:rPr>
          <w:rFonts w:hint="eastAsia" w:ascii="宋体" w:hAnsi="宋体"/>
          <w:sz w:val="24"/>
          <w:szCs w:val="24"/>
        </w:rPr>
        <w:t>三思永恒科技（浙江）有限公司一直着力于设备自动化技术改造，设计智能化生产线，机加工、测试、产品管理等主要领域已基本实现自动化操作，现拥有</w:t>
      </w:r>
      <w:bookmarkStart w:id="28" w:name="_Hlk122254229"/>
      <w:r>
        <w:rPr>
          <w:rFonts w:hint="eastAsia" w:ascii="宋体" w:hAnsi="宋体"/>
          <w:sz w:val="24"/>
          <w:szCs w:val="24"/>
        </w:rPr>
        <w:t>数控加工中心、数控车床</w:t>
      </w:r>
      <w:bookmarkEnd w:id="28"/>
      <w:r>
        <w:rPr>
          <w:rFonts w:hint="eastAsia" w:ascii="宋体" w:hAnsi="宋体"/>
          <w:sz w:val="24"/>
          <w:szCs w:val="24"/>
        </w:rPr>
        <w:t>等多台套行业领先的智能化设备，配备的设备完全能满足研发、生产制造等的需要</w:t>
      </w:r>
      <w:bookmarkEnd w:id="27"/>
      <w:r>
        <w:rPr>
          <w:rFonts w:hint="eastAsia" w:ascii="宋体" w:hAnsi="宋体"/>
          <w:sz w:val="24"/>
          <w:szCs w:val="24"/>
        </w:rPr>
        <w:t>。关键生产设备见表3。</w:t>
      </w:r>
    </w:p>
    <w:p w14:paraId="06A20906">
      <w:pPr>
        <w:widowControl/>
        <w:spacing w:line="300" w:lineRule="auto"/>
        <w:jc w:val="left"/>
        <w:rPr>
          <w:rFonts w:ascii="宋体" w:hAnsi="宋体"/>
          <w:b/>
          <w:color w:val="FF0000"/>
          <w:szCs w:val="21"/>
        </w:rPr>
      </w:pPr>
      <w:r>
        <w:rPr>
          <w:rFonts w:hint="eastAsia" w:ascii="宋体" w:hAnsi="宋体"/>
          <w:b/>
          <w:szCs w:val="21"/>
        </w:rPr>
        <w:t>表 3                           关键生产设备清单</w:t>
      </w:r>
    </w:p>
    <w:tbl>
      <w:tblPr>
        <w:tblStyle w:val="1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2115"/>
        <w:gridCol w:w="1476"/>
        <w:gridCol w:w="1269"/>
        <w:gridCol w:w="628"/>
        <w:gridCol w:w="1415"/>
        <w:gridCol w:w="1538"/>
      </w:tblGrid>
      <w:tr w14:paraId="7725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6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EF98B1">
            <w:pPr>
              <w:pStyle w:val="15"/>
              <w:widowControl w:val="0"/>
              <w:adjustRightInd w:val="0"/>
              <w:snapToGrid w:val="0"/>
              <w:spacing w:before="78" w:beforeLines="25" w:beforeAutospacing="0" w:after="78" w:afterLines="25" w:afterAutospacing="0"/>
              <w:jc w:val="center"/>
              <w:rPr>
                <w:rFonts w:cs="微软雅黑"/>
                <w:b/>
                <w:bCs/>
              </w:rPr>
            </w:pPr>
            <w:bookmarkStart w:id="29" w:name="_Hlk122289408"/>
            <w:r>
              <w:rPr>
                <w:rFonts w:hint="eastAsia" w:cs="微软雅黑"/>
                <w:b/>
                <w:bCs/>
                <w:sz w:val="21"/>
                <w:szCs w:val="21"/>
                <w:lang w:bidi="ar"/>
              </w:rPr>
              <w:t>车间</w:t>
            </w:r>
          </w:p>
        </w:tc>
        <w:tc>
          <w:tcPr>
            <w:tcW w:w="6903" w:type="dxa"/>
            <w:gridSpan w:val="5"/>
            <w:tcBorders>
              <w:top w:val="single" w:color="auto" w:sz="4" w:space="0"/>
              <w:left w:val="single" w:color="auto" w:sz="4" w:space="0"/>
              <w:bottom w:val="single" w:color="auto" w:sz="4" w:space="0"/>
              <w:right w:val="single" w:color="auto" w:sz="4" w:space="0"/>
            </w:tcBorders>
            <w:shd w:val="clear" w:color="auto" w:fill="auto"/>
          </w:tcPr>
          <w:p w14:paraId="4EC1A241">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设备配置</w:t>
            </w:r>
          </w:p>
        </w:tc>
        <w:tc>
          <w:tcPr>
            <w:tcW w:w="15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7A7D4A">
            <w:pPr>
              <w:pStyle w:val="15"/>
              <w:widowControl w:val="0"/>
              <w:adjustRightInd w:val="0"/>
              <w:snapToGrid w:val="0"/>
              <w:spacing w:before="78" w:beforeLines="25" w:beforeAutospacing="0" w:after="78" w:afterLines="25" w:afterAutospacing="0"/>
              <w:jc w:val="center"/>
              <w:rPr>
                <w:rFonts w:cs="微软雅黑"/>
                <w:b/>
                <w:bCs/>
                <w:color w:val="FF0000"/>
              </w:rPr>
            </w:pPr>
            <w:r>
              <w:rPr>
                <w:rFonts w:hint="eastAsia" w:cs="微软雅黑"/>
                <w:b/>
                <w:bCs/>
                <w:sz w:val="21"/>
                <w:szCs w:val="21"/>
                <w:lang w:bidi="ar"/>
              </w:rPr>
              <w:t>先进性</w:t>
            </w:r>
          </w:p>
        </w:tc>
      </w:tr>
      <w:tr w14:paraId="6E63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6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BB9FAD">
            <w:pPr>
              <w:rPr>
                <w:rFonts w:ascii="Times New Roman" w:hAnsi="Times New Roman"/>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tcPr>
          <w:p w14:paraId="45E992FA">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设备名称</w:t>
            </w:r>
          </w:p>
        </w:tc>
        <w:tc>
          <w:tcPr>
            <w:tcW w:w="1476" w:type="dxa"/>
            <w:tcBorders>
              <w:top w:val="single" w:color="auto" w:sz="4" w:space="0"/>
              <w:left w:val="single" w:color="auto" w:sz="4" w:space="0"/>
              <w:bottom w:val="single" w:color="auto" w:sz="4" w:space="0"/>
              <w:right w:val="single" w:color="auto" w:sz="4" w:space="0"/>
            </w:tcBorders>
            <w:shd w:val="clear" w:color="auto" w:fill="auto"/>
          </w:tcPr>
          <w:p w14:paraId="2CB866A6">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规格型号</w:t>
            </w:r>
          </w:p>
        </w:tc>
        <w:tc>
          <w:tcPr>
            <w:tcW w:w="1269" w:type="dxa"/>
            <w:tcBorders>
              <w:top w:val="single" w:color="auto" w:sz="4" w:space="0"/>
              <w:left w:val="single" w:color="auto" w:sz="4" w:space="0"/>
              <w:bottom w:val="single" w:color="auto" w:sz="4" w:space="0"/>
              <w:right w:val="single" w:color="auto" w:sz="4" w:space="0"/>
            </w:tcBorders>
            <w:shd w:val="clear" w:color="auto" w:fill="auto"/>
          </w:tcPr>
          <w:p w14:paraId="3946C260">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制造商</w:t>
            </w:r>
          </w:p>
        </w:tc>
        <w:tc>
          <w:tcPr>
            <w:tcW w:w="628" w:type="dxa"/>
            <w:tcBorders>
              <w:top w:val="single" w:color="auto" w:sz="4" w:space="0"/>
              <w:left w:val="single" w:color="auto" w:sz="4" w:space="0"/>
              <w:bottom w:val="single" w:color="auto" w:sz="4" w:space="0"/>
              <w:right w:val="single" w:color="auto" w:sz="4" w:space="0"/>
            </w:tcBorders>
            <w:shd w:val="clear" w:color="auto" w:fill="auto"/>
          </w:tcPr>
          <w:p w14:paraId="6A9BAF12">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数量</w:t>
            </w:r>
          </w:p>
        </w:tc>
        <w:tc>
          <w:tcPr>
            <w:tcW w:w="1415" w:type="dxa"/>
            <w:tcBorders>
              <w:top w:val="single" w:color="auto" w:sz="4" w:space="0"/>
              <w:left w:val="single" w:color="auto" w:sz="4" w:space="0"/>
              <w:bottom w:val="single" w:color="auto" w:sz="4" w:space="0"/>
              <w:right w:val="single" w:color="auto" w:sz="4" w:space="0"/>
            </w:tcBorders>
            <w:shd w:val="clear" w:color="auto" w:fill="auto"/>
          </w:tcPr>
          <w:p w14:paraId="71982957">
            <w:pPr>
              <w:pStyle w:val="15"/>
              <w:widowControl w:val="0"/>
              <w:adjustRightInd w:val="0"/>
              <w:snapToGrid w:val="0"/>
              <w:spacing w:before="78" w:beforeLines="25" w:beforeAutospacing="0" w:after="78" w:afterLines="25" w:afterAutospacing="0"/>
              <w:jc w:val="center"/>
              <w:rPr>
                <w:rFonts w:cs="微软雅黑"/>
                <w:b/>
                <w:bCs/>
              </w:rPr>
            </w:pPr>
            <w:r>
              <w:rPr>
                <w:rFonts w:hint="eastAsia" w:cs="微软雅黑"/>
                <w:b/>
                <w:bCs/>
                <w:sz w:val="21"/>
                <w:szCs w:val="21"/>
                <w:lang w:bidi="ar"/>
              </w:rPr>
              <w:t>用途</w:t>
            </w:r>
          </w:p>
        </w:tc>
        <w:tc>
          <w:tcPr>
            <w:tcW w:w="15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76ECB5">
            <w:pPr>
              <w:rPr>
                <w:rFonts w:ascii="Times New Roman" w:hAnsi="Times New Roman"/>
                <w:sz w:val="20"/>
                <w:szCs w:val="20"/>
              </w:rPr>
            </w:pPr>
          </w:p>
        </w:tc>
      </w:tr>
      <w:tr w14:paraId="5558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restart"/>
            <w:tcBorders>
              <w:top w:val="nil"/>
              <w:left w:val="single" w:color="auto" w:sz="4" w:space="0"/>
              <w:right w:val="single" w:color="auto" w:sz="4" w:space="0"/>
            </w:tcBorders>
            <w:shd w:val="clear" w:color="auto" w:fill="auto"/>
            <w:vAlign w:val="center"/>
          </w:tcPr>
          <w:p w14:paraId="06452B69">
            <w:pPr>
              <w:widowControl/>
              <w:spacing w:line="271" w:lineRule="auto"/>
              <w:jc w:val="center"/>
              <w:rPr>
                <w:rFonts w:ascii="宋体" w:hAnsi="宋体" w:cs="宋体"/>
                <w:b/>
                <w:bCs/>
                <w:sz w:val="18"/>
                <w:szCs w:val="18"/>
              </w:rPr>
            </w:pPr>
            <w:r>
              <w:rPr>
                <w:rFonts w:hint="eastAsia" w:ascii="宋体" w:hAnsi="宋体" w:cs="宋体"/>
                <w:b/>
                <w:bCs/>
                <w:sz w:val="18"/>
                <w:szCs w:val="18"/>
              </w:rPr>
              <w:t>生</w:t>
            </w:r>
          </w:p>
          <w:p w14:paraId="269F21CE">
            <w:pPr>
              <w:widowControl/>
              <w:spacing w:line="271" w:lineRule="auto"/>
              <w:jc w:val="center"/>
              <w:rPr>
                <w:rFonts w:ascii="宋体" w:hAnsi="宋体" w:cs="宋体"/>
                <w:b/>
                <w:bCs/>
                <w:sz w:val="18"/>
                <w:szCs w:val="18"/>
              </w:rPr>
            </w:pPr>
            <w:r>
              <w:rPr>
                <w:rFonts w:hint="eastAsia" w:ascii="宋体" w:hAnsi="宋体" w:cs="宋体"/>
                <w:b/>
                <w:bCs/>
                <w:sz w:val="18"/>
                <w:szCs w:val="18"/>
              </w:rPr>
              <w:t>产</w:t>
            </w:r>
          </w:p>
          <w:p w14:paraId="41E09A54">
            <w:pPr>
              <w:widowControl/>
              <w:spacing w:line="271" w:lineRule="auto"/>
              <w:jc w:val="center"/>
              <w:rPr>
                <w:rFonts w:ascii="宋体" w:hAnsi="宋体" w:cs="宋体"/>
                <w:b/>
                <w:bCs/>
                <w:sz w:val="18"/>
                <w:szCs w:val="18"/>
              </w:rPr>
            </w:pPr>
            <w:r>
              <w:rPr>
                <w:rFonts w:hint="eastAsia" w:ascii="宋体" w:hAnsi="宋体" w:cs="宋体"/>
                <w:b/>
                <w:bCs/>
                <w:sz w:val="18"/>
                <w:szCs w:val="18"/>
              </w:rPr>
              <w:t>车</w:t>
            </w:r>
          </w:p>
          <w:p w14:paraId="608D4EB9">
            <w:pPr>
              <w:widowControl/>
              <w:spacing w:line="271" w:lineRule="auto"/>
              <w:jc w:val="center"/>
              <w:rPr>
                <w:rFonts w:ascii="宋体" w:hAnsi="宋体" w:cs="宋体"/>
                <w:b/>
                <w:bCs/>
                <w:sz w:val="18"/>
                <w:szCs w:val="18"/>
              </w:rPr>
            </w:pPr>
            <w:r>
              <w:rPr>
                <w:rFonts w:hint="eastAsia" w:ascii="宋体" w:hAnsi="宋体" w:cs="宋体"/>
                <w:b/>
                <w:bCs/>
                <w:sz w:val="18"/>
                <w:szCs w:val="18"/>
              </w:rPr>
              <w:t>间</w:t>
            </w: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14:paraId="2811F09E">
            <w:pPr>
              <w:widowControl/>
              <w:spacing w:line="240" w:lineRule="exact"/>
              <w:jc w:val="center"/>
              <w:rPr>
                <w:rFonts w:ascii="宋体" w:hAnsi="宋体" w:cs="宋体"/>
                <w:sz w:val="18"/>
                <w:szCs w:val="18"/>
                <w:lang w:bidi="ar"/>
              </w:rPr>
            </w:pPr>
            <w:r>
              <w:rPr>
                <w:rFonts w:hint="eastAsia" w:ascii="宋体" w:hAnsi="宋体" w:cs="宋体"/>
                <w:sz w:val="18"/>
                <w:szCs w:val="18"/>
                <w:lang w:bidi="ar"/>
              </w:rPr>
              <w:t>数控车床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bottom"/>
          </w:tcPr>
          <w:p w14:paraId="534895F8">
            <w:pPr>
              <w:widowControl/>
              <w:spacing w:line="240" w:lineRule="exact"/>
              <w:jc w:val="center"/>
              <w:rPr>
                <w:rFonts w:ascii="宋体" w:hAnsi="宋体" w:cs="宋体"/>
                <w:sz w:val="18"/>
                <w:szCs w:val="18"/>
                <w:lang w:bidi="ar"/>
              </w:rPr>
            </w:pPr>
            <w:r>
              <w:rPr>
                <w:rFonts w:hint="eastAsia" w:ascii="宋体" w:hAnsi="宋体" w:cs="宋体"/>
                <w:sz w:val="18"/>
                <w:szCs w:val="18"/>
                <w:lang w:bidi="ar"/>
              </w:rPr>
              <w:t>HCL300</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14:paraId="22AE2A41">
            <w:pPr>
              <w:widowControl/>
              <w:spacing w:line="240" w:lineRule="exact"/>
              <w:jc w:val="center"/>
              <w:rPr>
                <w:rFonts w:ascii="宋体" w:hAnsi="宋体" w:cs="宋体"/>
                <w:sz w:val="18"/>
                <w:szCs w:val="18"/>
                <w:lang w:bidi="ar"/>
              </w:rPr>
            </w:pPr>
            <w:r>
              <w:rPr>
                <w:rFonts w:hint="eastAsia" w:ascii="宋体" w:hAnsi="宋体" w:cs="宋体"/>
                <w:sz w:val="18"/>
                <w:szCs w:val="18"/>
                <w:lang w:bidi="ar"/>
              </w:rPr>
              <w:t>浙江海德曼智能装备股份有限公司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14:paraId="0E97CD51">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70AC5DC3">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1F95EAAB">
            <w:pPr>
              <w:widowControl/>
              <w:spacing w:line="240" w:lineRule="exact"/>
              <w:jc w:val="center"/>
              <w:rPr>
                <w:rFonts w:ascii="宋体" w:hAnsi="宋体" w:cs="宋体"/>
                <w:sz w:val="18"/>
                <w:szCs w:val="18"/>
              </w:rPr>
            </w:pPr>
            <w:r>
              <w:rPr>
                <w:rFonts w:hint="eastAsia" w:ascii="宋体" w:hAnsi="宋体"/>
                <w:sz w:val="18"/>
                <w:szCs w:val="18"/>
              </w:rPr>
              <w:t>国际先进/自动</w:t>
            </w:r>
          </w:p>
        </w:tc>
      </w:tr>
      <w:tr w14:paraId="6039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14:paraId="3985187F">
            <w:pPr>
              <w:rPr>
                <w:rFonts w:ascii="Times New Roman" w:hAnsi="Times New Roman"/>
                <w:b/>
                <w:bCs/>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14:paraId="42098871">
            <w:pPr>
              <w:widowControl/>
              <w:spacing w:line="240" w:lineRule="exact"/>
              <w:jc w:val="center"/>
              <w:rPr>
                <w:rFonts w:ascii="宋体" w:hAnsi="宋体" w:cs="宋体"/>
                <w:sz w:val="18"/>
                <w:szCs w:val="18"/>
                <w:lang w:bidi="ar"/>
              </w:rPr>
            </w:pPr>
            <w:r>
              <w:rPr>
                <w:rFonts w:hint="eastAsia" w:ascii="宋体" w:hAnsi="宋体" w:cs="宋体"/>
                <w:sz w:val="18"/>
                <w:szCs w:val="18"/>
                <w:lang w:bidi="ar"/>
              </w:rPr>
              <w:t>电火花数控线切割机床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2C43BC2">
            <w:pPr>
              <w:widowControl/>
              <w:spacing w:line="240" w:lineRule="exact"/>
              <w:jc w:val="center"/>
              <w:rPr>
                <w:rFonts w:ascii="宋体" w:hAnsi="宋体" w:cs="宋体"/>
                <w:sz w:val="18"/>
                <w:szCs w:val="18"/>
                <w:lang w:bidi="ar"/>
              </w:rPr>
            </w:pPr>
            <w:r>
              <w:rPr>
                <w:rFonts w:hint="eastAsia" w:ascii="宋体" w:hAnsi="宋体" w:cs="宋体"/>
                <w:sz w:val="18"/>
                <w:szCs w:val="18"/>
                <w:lang w:bidi="ar"/>
              </w:rPr>
              <w:t>DK7735</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14:paraId="3D3539C0">
            <w:pPr>
              <w:widowControl/>
              <w:spacing w:line="240" w:lineRule="exact"/>
              <w:jc w:val="center"/>
              <w:rPr>
                <w:rFonts w:ascii="宋体" w:hAnsi="宋体" w:cs="宋体"/>
                <w:sz w:val="18"/>
                <w:szCs w:val="18"/>
                <w:lang w:bidi="ar"/>
              </w:rPr>
            </w:pPr>
            <w:r>
              <w:rPr>
                <w:rFonts w:ascii="宋体" w:hAnsi="宋体" w:cs="宋体"/>
                <w:sz w:val="18"/>
                <w:szCs w:val="18"/>
                <w:lang w:bidi="ar"/>
              </w:rPr>
              <w:t>泰州市正华数控机床厂</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14:paraId="3DF53E0A">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0459D476">
            <w:pPr>
              <w:widowControl/>
              <w:spacing w:line="240" w:lineRule="exact"/>
              <w:jc w:val="center"/>
              <w:rPr>
                <w:rFonts w:ascii="宋体" w:hAnsi="宋体" w:cs="宋体"/>
                <w:sz w:val="18"/>
                <w:szCs w:val="18"/>
                <w:lang w:bidi="ar"/>
              </w:rPr>
            </w:pPr>
            <w:r>
              <w:rPr>
                <w:rFonts w:hint="eastAsia" w:ascii="宋体" w:hAnsi="宋体" w:cs="宋体"/>
                <w:sz w:val="18"/>
                <w:szCs w:val="18"/>
                <w:lang w:bidi="ar"/>
              </w:rPr>
              <w:t>切割</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053869A5">
            <w:pPr>
              <w:widowControl/>
              <w:spacing w:line="240" w:lineRule="exact"/>
              <w:jc w:val="center"/>
              <w:rPr>
                <w:rFonts w:ascii="宋体" w:hAnsi="宋体" w:cs="宋体"/>
                <w:sz w:val="18"/>
                <w:szCs w:val="18"/>
                <w:lang w:bidi="ar"/>
              </w:rPr>
            </w:pPr>
            <w:r>
              <w:rPr>
                <w:rFonts w:hint="eastAsia" w:ascii="宋体" w:hAnsi="宋体" w:cs="宋体"/>
                <w:sz w:val="18"/>
                <w:szCs w:val="18"/>
                <w:lang w:bidi="ar"/>
              </w:rPr>
              <w:t>国际先进/自动</w:t>
            </w:r>
          </w:p>
        </w:tc>
      </w:tr>
      <w:tr w14:paraId="15DD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14:paraId="1A6E1329">
            <w:pPr>
              <w:rPr>
                <w:rFonts w:ascii="Times New Roman" w:hAnsi="Times New Roman"/>
                <w:b/>
                <w:bCs/>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14:paraId="0BE1C43E">
            <w:pPr>
              <w:widowControl/>
              <w:spacing w:line="240" w:lineRule="exact"/>
              <w:jc w:val="center"/>
              <w:rPr>
                <w:rFonts w:ascii="宋体" w:hAnsi="宋体" w:cs="宋体"/>
                <w:sz w:val="18"/>
                <w:szCs w:val="18"/>
                <w:lang w:bidi="ar"/>
              </w:rPr>
            </w:pPr>
            <w:r>
              <w:rPr>
                <w:rFonts w:hint="eastAsia" w:ascii="宋体" w:hAnsi="宋体" w:cs="宋体"/>
                <w:sz w:val="18"/>
                <w:szCs w:val="18"/>
                <w:lang w:bidi="ar"/>
              </w:rPr>
              <w:t>卧轴矩台平面磨床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6F3248C6">
            <w:pPr>
              <w:widowControl/>
              <w:spacing w:line="240" w:lineRule="exact"/>
              <w:jc w:val="center"/>
              <w:rPr>
                <w:rFonts w:ascii="宋体" w:hAnsi="宋体" w:cs="宋体"/>
                <w:sz w:val="18"/>
                <w:szCs w:val="18"/>
                <w:lang w:bidi="ar"/>
              </w:rPr>
            </w:pPr>
            <w:r>
              <w:rPr>
                <w:rFonts w:hint="eastAsia" w:ascii="宋体" w:hAnsi="宋体" w:cs="宋体"/>
                <w:sz w:val="18"/>
                <w:szCs w:val="18"/>
                <w:lang w:bidi="ar"/>
              </w:rPr>
              <w:t>M7140x10-GM</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14:paraId="771ED45B">
            <w:pPr>
              <w:widowControl/>
              <w:spacing w:line="240" w:lineRule="exact"/>
              <w:jc w:val="center"/>
              <w:rPr>
                <w:rFonts w:ascii="宋体" w:hAnsi="宋体" w:cs="宋体"/>
                <w:sz w:val="18"/>
                <w:szCs w:val="18"/>
                <w:lang w:bidi="ar"/>
              </w:rPr>
            </w:pPr>
            <w:r>
              <w:rPr>
                <w:rFonts w:hint="eastAsia" w:ascii="宋体" w:hAnsi="宋体" w:cs="宋体"/>
                <w:sz w:val="18"/>
                <w:szCs w:val="18"/>
                <w:lang w:bidi="ar"/>
              </w:rPr>
              <w:t>桂林桂北机器有限责任公司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14:paraId="74C58DC8">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59DD330E">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15FC949A">
            <w:pPr>
              <w:widowControl/>
              <w:spacing w:line="240" w:lineRule="exact"/>
              <w:jc w:val="center"/>
              <w:rPr>
                <w:rFonts w:ascii="宋体" w:hAnsi="宋体" w:cs="宋体"/>
                <w:sz w:val="18"/>
                <w:szCs w:val="18"/>
                <w:lang w:bidi="ar"/>
              </w:rPr>
            </w:pPr>
            <w:r>
              <w:rPr>
                <w:rFonts w:hint="eastAsia" w:ascii="宋体" w:hAnsi="宋体" w:cs="宋体"/>
                <w:sz w:val="18"/>
                <w:szCs w:val="18"/>
                <w:lang w:bidi="ar"/>
              </w:rPr>
              <w:t>国际先进/自动</w:t>
            </w:r>
          </w:p>
        </w:tc>
      </w:tr>
      <w:tr w14:paraId="246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14:paraId="71D28207">
            <w:pPr>
              <w:widowControl/>
              <w:spacing w:beforeAutospacing="1"/>
              <w:rPr>
                <w:rFonts w:ascii="宋体" w:hAnsi="宋体" w:cs="宋体"/>
                <w:b/>
                <w:bCs/>
                <w:sz w:val="18"/>
                <w:szCs w:val="18"/>
                <w:lang w:bidi="ar"/>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14:paraId="33D34D6A">
            <w:pPr>
              <w:widowControl/>
              <w:spacing w:line="240" w:lineRule="exact"/>
              <w:jc w:val="center"/>
              <w:rPr>
                <w:rFonts w:ascii="宋体" w:hAnsi="宋体" w:cs="宋体"/>
                <w:sz w:val="18"/>
                <w:szCs w:val="18"/>
                <w:lang w:bidi="ar"/>
              </w:rPr>
            </w:pPr>
            <w:r>
              <w:rPr>
                <w:rFonts w:hint="eastAsia" w:ascii="宋体" w:hAnsi="宋体" w:cs="宋体"/>
                <w:sz w:val="18"/>
                <w:szCs w:val="18"/>
                <w:lang w:bidi="ar"/>
              </w:rPr>
              <w:t>铣床</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4C4DB38C">
            <w:pPr>
              <w:widowControl/>
              <w:spacing w:line="240" w:lineRule="exact"/>
              <w:jc w:val="center"/>
              <w:rPr>
                <w:rFonts w:ascii="宋体" w:hAnsi="宋体" w:cs="宋体"/>
                <w:sz w:val="18"/>
                <w:szCs w:val="18"/>
                <w:lang w:bidi="ar"/>
              </w:rPr>
            </w:pPr>
            <w:r>
              <w:rPr>
                <w:rFonts w:hint="eastAsia" w:ascii="宋体" w:hAnsi="宋体" w:cs="宋体"/>
                <w:sz w:val="18"/>
                <w:szCs w:val="18"/>
                <w:lang w:bidi="ar"/>
              </w:rPr>
              <w:t>4AV</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14:paraId="5BEDEC1B">
            <w:pPr>
              <w:widowControl/>
              <w:spacing w:line="240" w:lineRule="exact"/>
              <w:jc w:val="center"/>
              <w:rPr>
                <w:rFonts w:ascii="宋体" w:hAnsi="宋体" w:cs="宋体"/>
                <w:sz w:val="18"/>
                <w:szCs w:val="18"/>
                <w:lang w:bidi="ar"/>
              </w:rPr>
            </w:pPr>
            <w:r>
              <w:rPr>
                <w:rFonts w:hint="eastAsia" w:ascii="宋体" w:hAnsi="宋体" w:cs="宋体"/>
                <w:sz w:val="18"/>
                <w:szCs w:val="18"/>
                <w:lang w:bidi="ar"/>
              </w:rPr>
              <w:t>旭正机械股份有限公司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14:paraId="5187B760">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5E92C978">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4047FA81">
            <w:pPr>
              <w:widowControl/>
              <w:spacing w:line="240" w:lineRule="exact"/>
              <w:jc w:val="center"/>
              <w:rPr>
                <w:rFonts w:ascii="宋体" w:hAnsi="宋体" w:cs="宋体"/>
                <w:sz w:val="18"/>
                <w:szCs w:val="18"/>
                <w:lang w:bidi="ar"/>
              </w:rPr>
            </w:pPr>
            <w:r>
              <w:rPr>
                <w:rFonts w:hint="eastAsia" w:ascii="宋体" w:hAnsi="宋体" w:cs="宋体"/>
                <w:sz w:val="18"/>
                <w:szCs w:val="18"/>
                <w:lang w:bidi="ar"/>
              </w:rPr>
              <w:t>国际先进/自动</w:t>
            </w:r>
          </w:p>
        </w:tc>
      </w:tr>
      <w:tr w14:paraId="2205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21" w:type="dxa"/>
            <w:vMerge w:val="continue"/>
            <w:tcBorders>
              <w:left w:val="single" w:color="auto" w:sz="4" w:space="0"/>
              <w:right w:val="single" w:color="auto" w:sz="4" w:space="0"/>
            </w:tcBorders>
            <w:shd w:val="clear" w:color="auto" w:fill="auto"/>
            <w:vAlign w:val="center"/>
          </w:tcPr>
          <w:p w14:paraId="5C0D0A3B">
            <w:pPr>
              <w:rPr>
                <w:rFonts w:ascii="Times New Roman" w:hAnsi="Times New Roman"/>
                <w:b/>
                <w:bCs/>
                <w:sz w:val="20"/>
                <w:szCs w:val="20"/>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14:paraId="7B4E4E8D">
            <w:pPr>
              <w:widowControl/>
              <w:spacing w:line="240" w:lineRule="exact"/>
              <w:jc w:val="center"/>
              <w:rPr>
                <w:rFonts w:ascii="宋体" w:hAnsi="宋体" w:cs="宋体"/>
                <w:sz w:val="18"/>
                <w:szCs w:val="18"/>
                <w:lang w:bidi="ar"/>
              </w:rPr>
            </w:pPr>
            <w:r>
              <w:rPr>
                <w:rFonts w:hint="eastAsia" w:ascii="宋体" w:hAnsi="宋体" w:cs="宋体"/>
                <w:sz w:val="18"/>
                <w:szCs w:val="18"/>
                <w:lang w:bidi="ar"/>
              </w:rPr>
              <w:t>伺服攻丝机</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6285E41">
            <w:pPr>
              <w:widowControl/>
              <w:spacing w:line="240" w:lineRule="exact"/>
              <w:jc w:val="center"/>
              <w:rPr>
                <w:rFonts w:ascii="宋体" w:hAnsi="宋体" w:cs="宋体"/>
                <w:sz w:val="18"/>
                <w:szCs w:val="18"/>
                <w:lang w:bidi="ar"/>
              </w:rPr>
            </w:pPr>
            <w:r>
              <w:rPr>
                <w:rFonts w:hint="eastAsia" w:ascii="宋体" w:hAnsi="宋体" w:cs="宋体"/>
                <w:sz w:val="18"/>
                <w:szCs w:val="18"/>
                <w:lang w:bidi="ar"/>
              </w:rPr>
              <w:t>H-MOSS</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14:paraId="55B48DCC">
            <w:pPr>
              <w:widowControl/>
              <w:spacing w:line="240" w:lineRule="exact"/>
              <w:jc w:val="center"/>
              <w:rPr>
                <w:rFonts w:ascii="宋体" w:hAnsi="宋体" w:cs="宋体"/>
                <w:sz w:val="18"/>
                <w:szCs w:val="18"/>
                <w:lang w:bidi="ar"/>
              </w:rPr>
            </w:pPr>
            <w:r>
              <w:rPr>
                <w:rFonts w:hint="eastAsia" w:ascii="宋体" w:hAnsi="宋体" w:cs="宋体"/>
                <w:sz w:val="18"/>
                <w:szCs w:val="18"/>
                <w:lang w:bidi="ar"/>
              </w:rPr>
              <w:t>无锡恒莫斯智能科技有限公司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14:paraId="0AB0AF11">
            <w:pPr>
              <w:widowControl/>
              <w:spacing w:line="240" w:lineRule="exact"/>
              <w:jc w:val="center"/>
              <w:rPr>
                <w:rFonts w:ascii="宋体" w:hAnsi="宋体" w:cs="宋体"/>
                <w:sz w:val="18"/>
                <w:szCs w:val="18"/>
                <w:lang w:bidi="ar"/>
              </w:rPr>
            </w:pPr>
            <w:r>
              <w:rPr>
                <w:rFonts w:hint="eastAsia"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3738DE7E">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1BBC4DE9">
            <w:pPr>
              <w:widowControl/>
              <w:spacing w:line="240" w:lineRule="exact"/>
              <w:jc w:val="center"/>
              <w:rPr>
                <w:rFonts w:ascii="宋体" w:hAnsi="宋体" w:cs="宋体"/>
                <w:sz w:val="18"/>
                <w:szCs w:val="18"/>
                <w:lang w:bidi="ar"/>
              </w:rPr>
            </w:pPr>
            <w:r>
              <w:rPr>
                <w:rFonts w:hint="eastAsia" w:ascii="宋体" w:hAnsi="宋体" w:cs="宋体"/>
                <w:sz w:val="18"/>
                <w:szCs w:val="18"/>
                <w:lang w:bidi="ar"/>
              </w:rPr>
              <w:t>国内先进/自动</w:t>
            </w:r>
          </w:p>
        </w:tc>
      </w:tr>
      <w:tr w14:paraId="1C0B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621" w:type="dxa"/>
            <w:vMerge w:val="continue"/>
            <w:tcBorders>
              <w:left w:val="single" w:color="auto" w:sz="4" w:space="0"/>
              <w:right w:val="single" w:color="auto" w:sz="4" w:space="0"/>
            </w:tcBorders>
            <w:shd w:val="clear" w:color="auto" w:fill="auto"/>
            <w:vAlign w:val="center"/>
          </w:tcPr>
          <w:p w14:paraId="4B9A50E6">
            <w:pPr>
              <w:widowControl/>
              <w:spacing w:beforeAutospacing="1"/>
              <w:rPr>
                <w:rFonts w:ascii="宋体" w:hAnsi="宋体" w:cs="宋体"/>
                <w:b/>
                <w:bCs/>
                <w:sz w:val="18"/>
                <w:szCs w:val="18"/>
              </w:rPr>
            </w:pP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14:paraId="7A1E6656">
            <w:pPr>
              <w:widowControl/>
              <w:spacing w:line="240" w:lineRule="exact"/>
              <w:jc w:val="center"/>
              <w:rPr>
                <w:rFonts w:ascii="宋体" w:hAnsi="宋体" w:cs="宋体"/>
                <w:sz w:val="18"/>
                <w:szCs w:val="18"/>
                <w:lang w:bidi="ar"/>
              </w:rPr>
            </w:pPr>
            <w:r>
              <w:rPr>
                <w:rFonts w:hint="eastAsia" w:ascii="宋体" w:hAnsi="宋体" w:cs="宋体"/>
                <w:sz w:val="18"/>
                <w:szCs w:val="18"/>
                <w:lang w:bidi="ar"/>
              </w:rPr>
              <w:t>数控加工中心</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B48E8D3">
            <w:pPr>
              <w:widowControl/>
              <w:spacing w:line="240" w:lineRule="exact"/>
              <w:jc w:val="center"/>
              <w:rPr>
                <w:rFonts w:ascii="宋体" w:hAnsi="宋体" w:cs="宋体"/>
                <w:sz w:val="18"/>
                <w:szCs w:val="18"/>
                <w:lang w:bidi="ar"/>
              </w:rPr>
            </w:pPr>
            <w:r>
              <w:rPr>
                <w:rFonts w:hint="eastAsia" w:ascii="宋体" w:hAnsi="宋体" w:cs="宋体"/>
                <w:sz w:val="18"/>
                <w:szCs w:val="18"/>
                <w:lang w:bidi="ar"/>
              </w:rPr>
              <w:t>TK.</w:t>
            </w:r>
            <w:r>
              <w:rPr>
                <w:rFonts w:ascii="宋体" w:hAnsi="宋体" w:cs="宋体"/>
                <w:sz w:val="18"/>
                <w:szCs w:val="18"/>
                <w:lang w:bidi="ar"/>
              </w:rPr>
              <w:t>V11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14:paraId="3718E2F6">
            <w:pPr>
              <w:widowControl/>
              <w:spacing w:line="240" w:lineRule="exact"/>
              <w:jc w:val="center"/>
              <w:rPr>
                <w:rFonts w:ascii="宋体" w:hAnsi="宋体" w:cs="宋体"/>
                <w:sz w:val="18"/>
                <w:szCs w:val="18"/>
                <w:lang w:bidi="ar"/>
              </w:rPr>
            </w:pPr>
            <w:r>
              <w:rPr>
                <w:rFonts w:ascii="宋体" w:hAnsi="宋体" w:cs="宋体"/>
                <w:sz w:val="18"/>
                <w:szCs w:val="18"/>
                <w:lang w:bidi="ar"/>
              </w:rPr>
              <w:t>东莞市台克机械有限公司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14:paraId="50C7B808">
            <w:pPr>
              <w:widowControl/>
              <w:spacing w:line="240" w:lineRule="exact"/>
              <w:jc w:val="center"/>
              <w:rPr>
                <w:rFonts w:ascii="宋体" w:hAnsi="宋体" w:cs="宋体"/>
                <w:sz w:val="18"/>
                <w:szCs w:val="18"/>
                <w:lang w:bidi="ar"/>
              </w:rPr>
            </w:pPr>
            <w:r>
              <w:rPr>
                <w:rFonts w:ascii="宋体" w:hAnsi="宋体" w:cs="宋体"/>
                <w:sz w:val="18"/>
                <w:szCs w:val="18"/>
                <w:lang w:bidi="ar"/>
              </w:rPr>
              <w:t>1</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18EBDB62">
            <w:pPr>
              <w:widowControl/>
              <w:spacing w:line="240" w:lineRule="exact"/>
              <w:jc w:val="center"/>
              <w:rPr>
                <w:rFonts w:ascii="宋体" w:hAnsi="宋体" w:cs="宋体"/>
                <w:sz w:val="18"/>
                <w:szCs w:val="18"/>
                <w:lang w:bidi="ar"/>
              </w:rPr>
            </w:pPr>
            <w:r>
              <w:rPr>
                <w:rFonts w:hint="eastAsia" w:ascii="宋体" w:hAnsi="宋体" w:cs="宋体"/>
                <w:sz w:val="18"/>
                <w:szCs w:val="18"/>
                <w:lang w:bidi="ar"/>
              </w:rPr>
              <w:t>机加工</w:t>
            </w: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2B4BF53A">
            <w:pPr>
              <w:widowControl/>
              <w:spacing w:line="240" w:lineRule="exact"/>
              <w:jc w:val="center"/>
              <w:rPr>
                <w:rFonts w:ascii="宋体" w:hAnsi="宋体" w:cs="宋体"/>
                <w:sz w:val="18"/>
                <w:szCs w:val="18"/>
                <w:lang w:bidi="ar"/>
              </w:rPr>
            </w:pPr>
            <w:r>
              <w:rPr>
                <w:rFonts w:hint="eastAsia" w:ascii="宋体" w:hAnsi="宋体" w:cs="宋体"/>
                <w:sz w:val="18"/>
                <w:szCs w:val="18"/>
                <w:lang w:bidi="ar"/>
              </w:rPr>
              <w:t>国内先进/自动</w:t>
            </w:r>
          </w:p>
        </w:tc>
      </w:tr>
      <w:bookmarkEnd w:id="29"/>
    </w:tbl>
    <w:p w14:paraId="3C0F8B94">
      <w:pPr>
        <w:pStyle w:val="3"/>
        <w:numPr>
          <w:ilvl w:val="0"/>
          <w:numId w:val="4"/>
        </w:numPr>
        <w:spacing w:before="0" w:after="0" w:line="300" w:lineRule="auto"/>
        <w:ind w:left="0" w:firstLine="0"/>
        <w:rPr>
          <w:sz w:val="28"/>
          <w:szCs w:val="28"/>
        </w:rPr>
      </w:pPr>
      <w:bookmarkStart w:id="30" w:name="_Toc47951666"/>
      <w:r>
        <w:rPr>
          <w:rFonts w:hint="eastAsia"/>
          <w:sz w:val="28"/>
          <w:szCs w:val="28"/>
        </w:rPr>
        <w:t>研发与检测设备</w:t>
      </w:r>
      <w:bookmarkEnd w:id="30"/>
    </w:p>
    <w:p w14:paraId="3B6A8F26">
      <w:pPr>
        <w:spacing w:line="300" w:lineRule="auto"/>
        <w:ind w:firstLine="480" w:firstLineChars="200"/>
        <w:rPr>
          <w:rFonts w:ascii="宋体" w:hAnsi="宋体"/>
          <w:sz w:val="24"/>
          <w:szCs w:val="24"/>
        </w:rPr>
      </w:pPr>
      <w:r>
        <w:rPr>
          <w:rFonts w:hint="eastAsia" w:cs="微软雅黑" w:asciiTheme="minorEastAsia" w:hAnsiTheme="minorEastAsia"/>
          <w:sz w:val="24"/>
          <w:szCs w:val="24"/>
        </w:rPr>
        <w:t>为了保证产品生产过程和检验过程的准确性，使产品达到相关国家、行业的技术标准要求，并且达到顾客的要求，三思永恒科技（浙江）有限公司在产品制造过程中，从原辅料进厂开始，直至提交顾客均通过检测，确保最终交付产品的符合性</w:t>
      </w:r>
      <w:r>
        <w:rPr>
          <w:rFonts w:hint="eastAsia" w:ascii="宋体" w:hAnsi="宋体"/>
          <w:sz w:val="24"/>
          <w:szCs w:val="24"/>
        </w:rPr>
        <w:t>。三思永恒科技（浙江）有限公司建立了专业的实验室，对纳入定期校准/检定的计量器具进行检定和校准。主要研发检测设备和量检具见表4所示。</w:t>
      </w:r>
    </w:p>
    <w:p w14:paraId="02026B3E">
      <w:pPr>
        <w:widowControl/>
        <w:spacing w:line="300" w:lineRule="auto"/>
        <w:jc w:val="left"/>
        <w:rPr>
          <w:rFonts w:ascii="宋体" w:hAnsi="宋体"/>
          <w:b/>
          <w:color w:val="FF0000"/>
          <w:szCs w:val="21"/>
          <w:highlight w:val="yellow"/>
        </w:rPr>
      </w:pPr>
      <w:r>
        <w:rPr>
          <w:rFonts w:hint="eastAsia" w:ascii="宋体" w:hAnsi="宋体"/>
          <w:b/>
          <w:szCs w:val="21"/>
        </w:rPr>
        <w:t xml:space="preserve">表4：                      </w:t>
      </w:r>
      <w:r>
        <w:rPr>
          <w:rFonts w:ascii="宋体" w:hAnsi="宋体"/>
          <w:b/>
          <w:szCs w:val="21"/>
        </w:rPr>
        <w:t xml:space="preserve">    </w:t>
      </w:r>
      <w:r>
        <w:rPr>
          <w:rFonts w:hint="eastAsia" w:ascii="宋体" w:hAnsi="宋体"/>
          <w:b/>
          <w:szCs w:val="21"/>
        </w:rPr>
        <w:t xml:space="preserve"> 关键检测和研发设备</w:t>
      </w:r>
    </w:p>
    <w:tbl>
      <w:tblPr>
        <w:tblStyle w:val="17"/>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373"/>
        <w:gridCol w:w="1645"/>
        <w:gridCol w:w="1500"/>
        <w:gridCol w:w="1100"/>
        <w:gridCol w:w="1494"/>
      </w:tblGrid>
      <w:tr w14:paraId="47BF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84" w:type="dxa"/>
            <w:vAlign w:val="center"/>
          </w:tcPr>
          <w:p w14:paraId="5B7B7216">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计量器具名称</w:t>
            </w:r>
          </w:p>
        </w:tc>
        <w:tc>
          <w:tcPr>
            <w:tcW w:w="1373" w:type="dxa"/>
            <w:vAlign w:val="center"/>
          </w:tcPr>
          <w:p w14:paraId="29D492AE">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规格型号</w:t>
            </w:r>
          </w:p>
        </w:tc>
        <w:tc>
          <w:tcPr>
            <w:tcW w:w="1645" w:type="dxa"/>
            <w:vAlign w:val="center"/>
          </w:tcPr>
          <w:p w14:paraId="5B0BEB23">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制造商</w:t>
            </w:r>
          </w:p>
        </w:tc>
        <w:tc>
          <w:tcPr>
            <w:tcW w:w="1500" w:type="dxa"/>
            <w:vAlign w:val="center"/>
          </w:tcPr>
          <w:p w14:paraId="734873F4">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测量范围</w:t>
            </w:r>
          </w:p>
        </w:tc>
        <w:tc>
          <w:tcPr>
            <w:tcW w:w="1100" w:type="dxa"/>
            <w:vAlign w:val="center"/>
          </w:tcPr>
          <w:p w14:paraId="3D955A77">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使用地点</w:t>
            </w:r>
          </w:p>
        </w:tc>
        <w:tc>
          <w:tcPr>
            <w:tcW w:w="1494" w:type="dxa"/>
            <w:vAlign w:val="center"/>
          </w:tcPr>
          <w:p w14:paraId="25BC66C4">
            <w:pPr>
              <w:pStyle w:val="61"/>
              <w:adjustRightInd w:val="0"/>
              <w:snapToGrid w:val="0"/>
              <w:ind w:firstLine="0" w:firstLineChars="0"/>
              <w:jc w:val="center"/>
              <w:rPr>
                <w:rFonts w:ascii="宋体" w:hAnsi="宋体" w:cs="微软雅黑"/>
                <w:b/>
                <w:bCs/>
                <w:szCs w:val="21"/>
              </w:rPr>
            </w:pPr>
            <w:r>
              <w:rPr>
                <w:rFonts w:hint="eastAsia" w:ascii="宋体" w:hAnsi="宋体" w:cs="微软雅黑"/>
                <w:b/>
                <w:bCs/>
                <w:szCs w:val="21"/>
              </w:rPr>
              <w:t>检测项目</w:t>
            </w:r>
          </w:p>
        </w:tc>
      </w:tr>
      <w:tr w14:paraId="4441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14:paraId="0DBC7DB3">
            <w:pPr>
              <w:widowControl/>
              <w:jc w:val="center"/>
              <w:rPr>
                <w:rFonts w:ascii="宋体" w:hAnsi="宋体"/>
                <w:sz w:val="18"/>
                <w:szCs w:val="18"/>
              </w:rPr>
            </w:pPr>
            <w:r>
              <w:rPr>
                <w:rFonts w:hint="eastAsia" w:ascii="宋体" w:hAnsi="宋体"/>
                <w:sz w:val="18"/>
                <w:szCs w:val="18"/>
              </w:rPr>
              <w:t>声级计</w:t>
            </w:r>
          </w:p>
        </w:tc>
        <w:tc>
          <w:tcPr>
            <w:tcW w:w="1373" w:type="dxa"/>
            <w:vAlign w:val="center"/>
          </w:tcPr>
          <w:p w14:paraId="132F005D">
            <w:pPr>
              <w:ind w:firstLine="360" w:firstLineChars="200"/>
              <w:rPr>
                <w:rFonts w:ascii="宋体" w:hAnsi="宋体"/>
                <w:sz w:val="18"/>
                <w:szCs w:val="18"/>
              </w:rPr>
            </w:pPr>
            <w:r>
              <w:rPr>
                <w:rFonts w:hint="eastAsia" w:ascii="宋体" w:hAnsi="宋体"/>
                <w:sz w:val="18"/>
                <w:szCs w:val="18"/>
              </w:rPr>
              <w:t>D</w:t>
            </w:r>
            <w:r>
              <w:rPr>
                <w:rFonts w:ascii="宋体" w:hAnsi="宋体"/>
                <w:sz w:val="18"/>
                <w:szCs w:val="18"/>
              </w:rPr>
              <w:t>SM D2</w:t>
            </w:r>
          </w:p>
        </w:tc>
        <w:tc>
          <w:tcPr>
            <w:tcW w:w="1645" w:type="dxa"/>
            <w:vAlign w:val="center"/>
          </w:tcPr>
          <w:p w14:paraId="0D2DBC71">
            <w:pPr>
              <w:widowControl/>
              <w:jc w:val="center"/>
              <w:rPr>
                <w:rFonts w:ascii="宋体" w:hAnsi="宋体"/>
                <w:sz w:val="18"/>
                <w:szCs w:val="18"/>
              </w:rPr>
            </w:pPr>
            <w:r>
              <w:rPr>
                <w:rFonts w:hint="eastAsia" w:ascii="宋体" w:hAnsi="宋体"/>
                <w:sz w:val="18"/>
                <w:szCs w:val="18"/>
              </w:rPr>
              <w:t>德力西</w:t>
            </w:r>
          </w:p>
        </w:tc>
        <w:tc>
          <w:tcPr>
            <w:tcW w:w="1500" w:type="dxa"/>
            <w:vAlign w:val="center"/>
          </w:tcPr>
          <w:p w14:paraId="2EA2E78F">
            <w:pPr>
              <w:widowControl/>
              <w:jc w:val="center"/>
              <w:rPr>
                <w:rFonts w:ascii="宋体" w:hAnsi="宋体"/>
                <w:sz w:val="18"/>
                <w:szCs w:val="18"/>
              </w:rPr>
            </w:pPr>
            <w:r>
              <w:rPr>
                <w:rFonts w:hint="eastAsia" w:ascii="宋体" w:hAnsi="宋体"/>
                <w:sz w:val="18"/>
                <w:szCs w:val="18"/>
              </w:rPr>
              <w:t>2级</w:t>
            </w:r>
          </w:p>
        </w:tc>
        <w:tc>
          <w:tcPr>
            <w:tcW w:w="1100" w:type="dxa"/>
            <w:vAlign w:val="center"/>
          </w:tcPr>
          <w:p w14:paraId="3A9A2EBE">
            <w:pPr>
              <w:widowControl/>
              <w:jc w:val="center"/>
              <w:rPr>
                <w:rFonts w:ascii="宋体" w:hAnsi="宋体"/>
                <w:sz w:val="18"/>
                <w:szCs w:val="18"/>
              </w:rPr>
            </w:pPr>
            <w:r>
              <w:rPr>
                <w:rFonts w:hint="eastAsia" w:ascii="宋体" w:hAnsi="宋体"/>
                <w:sz w:val="18"/>
                <w:szCs w:val="18"/>
              </w:rPr>
              <w:t>实验室</w:t>
            </w:r>
          </w:p>
        </w:tc>
        <w:tc>
          <w:tcPr>
            <w:tcW w:w="1494" w:type="dxa"/>
            <w:vAlign w:val="center"/>
          </w:tcPr>
          <w:p w14:paraId="4800080A">
            <w:pPr>
              <w:widowControl/>
              <w:jc w:val="center"/>
              <w:rPr>
                <w:rFonts w:ascii="宋体" w:hAnsi="宋体"/>
                <w:sz w:val="18"/>
                <w:szCs w:val="18"/>
              </w:rPr>
            </w:pPr>
            <w:r>
              <w:rPr>
                <w:rFonts w:hint="eastAsia" w:ascii="宋体" w:hAnsi="宋体"/>
                <w:sz w:val="18"/>
                <w:szCs w:val="18"/>
              </w:rPr>
              <w:t>噪声</w:t>
            </w:r>
          </w:p>
        </w:tc>
      </w:tr>
      <w:tr w14:paraId="0961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14:paraId="15431E99">
            <w:pPr>
              <w:widowControl/>
              <w:jc w:val="center"/>
              <w:rPr>
                <w:rFonts w:ascii="宋体" w:hAnsi="宋体"/>
                <w:sz w:val="18"/>
                <w:szCs w:val="18"/>
              </w:rPr>
            </w:pPr>
            <w:r>
              <w:rPr>
                <w:rFonts w:hint="eastAsia" w:ascii="宋体" w:hAnsi="宋体"/>
                <w:sz w:val="18"/>
                <w:szCs w:val="18"/>
              </w:rPr>
              <w:t>洛氏硬度计</w:t>
            </w:r>
          </w:p>
        </w:tc>
        <w:tc>
          <w:tcPr>
            <w:tcW w:w="1373" w:type="dxa"/>
            <w:vAlign w:val="center"/>
          </w:tcPr>
          <w:p w14:paraId="4AF99DB0">
            <w:pPr>
              <w:widowControl/>
              <w:jc w:val="center"/>
              <w:rPr>
                <w:rFonts w:ascii="宋体" w:hAnsi="宋体"/>
                <w:sz w:val="18"/>
                <w:szCs w:val="18"/>
              </w:rPr>
            </w:pPr>
            <w:r>
              <w:rPr>
                <w:rFonts w:hint="eastAsia" w:ascii="宋体" w:hAnsi="宋体"/>
                <w:sz w:val="18"/>
                <w:szCs w:val="18"/>
              </w:rPr>
              <w:t>H</w:t>
            </w:r>
            <w:r>
              <w:rPr>
                <w:rFonts w:ascii="宋体" w:hAnsi="宋体"/>
                <w:sz w:val="18"/>
                <w:szCs w:val="18"/>
              </w:rPr>
              <w:t>R-150C</w:t>
            </w:r>
          </w:p>
        </w:tc>
        <w:tc>
          <w:tcPr>
            <w:tcW w:w="1645" w:type="dxa"/>
            <w:vAlign w:val="center"/>
          </w:tcPr>
          <w:p w14:paraId="65233510">
            <w:pPr>
              <w:widowControl/>
              <w:jc w:val="center"/>
              <w:rPr>
                <w:rFonts w:ascii="宋体" w:hAnsi="宋体"/>
                <w:sz w:val="18"/>
                <w:szCs w:val="18"/>
              </w:rPr>
            </w:pPr>
            <w:r>
              <w:rPr>
                <w:rFonts w:hint="eastAsia" w:ascii="宋体" w:hAnsi="宋体"/>
                <w:sz w:val="18"/>
                <w:szCs w:val="18"/>
              </w:rPr>
              <w:t>莱州得川</w:t>
            </w:r>
          </w:p>
        </w:tc>
        <w:tc>
          <w:tcPr>
            <w:tcW w:w="1500" w:type="dxa"/>
            <w:vAlign w:val="center"/>
          </w:tcPr>
          <w:p w14:paraId="12B795A2">
            <w:pPr>
              <w:widowControl/>
              <w:jc w:val="center"/>
              <w:rPr>
                <w:rFonts w:ascii="宋体" w:hAnsi="宋体"/>
                <w:sz w:val="18"/>
                <w:szCs w:val="18"/>
              </w:rPr>
            </w:pPr>
            <w:r>
              <w:rPr>
                <w:rFonts w:hint="eastAsia" w:ascii="宋体" w:hAnsi="宋体"/>
                <w:sz w:val="18"/>
                <w:szCs w:val="18"/>
              </w:rPr>
              <w:t>2</w:t>
            </w:r>
            <w:r>
              <w:rPr>
                <w:rFonts w:ascii="宋体" w:hAnsi="宋体"/>
                <w:sz w:val="18"/>
                <w:szCs w:val="18"/>
              </w:rPr>
              <w:t>0-100HRB</w:t>
            </w:r>
          </w:p>
        </w:tc>
        <w:tc>
          <w:tcPr>
            <w:tcW w:w="1100" w:type="dxa"/>
            <w:vAlign w:val="center"/>
          </w:tcPr>
          <w:p w14:paraId="27F43421">
            <w:pPr>
              <w:widowControl/>
              <w:jc w:val="center"/>
              <w:rPr>
                <w:rFonts w:ascii="宋体" w:hAnsi="宋体"/>
                <w:sz w:val="18"/>
                <w:szCs w:val="18"/>
              </w:rPr>
            </w:pPr>
            <w:r>
              <w:rPr>
                <w:rFonts w:hint="eastAsia" w:ascii="宋体" w:hAnsi="宋体"/>
                <w:sz w:val="18"/>
                <w:szCs w:val="18"/>
              </w:rPr>
              <w:t>实验室</w:t>
            </w:r>
          </w:p>
        </w:tc>
        <w:tc>
          <w:tcPr>
            <w:tcW w:w="1494" w:type="dxa"/>
            <w:vAlign w:val="center"/>
          </w:tcPr>
          <w:p w14:paraId="5E80AC61">
            <w:pPr>
              <w:widowControl/>
              <w:jc w:val="center"/>
              <w:rPr>
                <w:rFonts w:ascii="宋体" w:hAnsi="宋体"/>
                <w:sz w:val="18"/>
                <w:szCs w:val="18"/>
              </w:rPr>
            </w:pPr>
            <w:r>
              <w:rPr>
                <w:rFonts w:hint="eastAsia" w:ascii="宋体" w:hAnsi="宋体"/>
                <w:sz w:val="18"/>
                <w:szCs w:val="18"/>
              </w:rPr>
              <w:t>硬度</w:t>
            </w:r>
          </w:p>
        </w:tc>
      </w:tr>
      <w:tr w14:paraId="60A3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1684" w:type="dxa"/>
            <w:vAlign w:val="center"/>
          </w:tcPr>
          <w:p w14:paraId="0D33175C">
            <w:pPr>
              <w:widowControl/>
              <w:jc w:val="center"/>
              <w:rPr>
                <w:rFonts w:ascii="宋体" w:hAnsi="宋体"/>
                <w:sz w:val="18"/>
                <w:szCs w:val="18"/>
              </w:rPr>
            </w:pPr>
            <w:r>
              <w:rPr>
                <w:rFonts w:hint="eastAsia" w:ascii="宋体" w:hAnsi="宋体"/>
                <w:sz w:val="18"/>
                <w:szCs w:val="18"/>
              </w:rPr>
              <w:t>同轴度自动测量仪</w:t>
            </w:r>
          </w:p>
        </w:tc>
        <w:tc>
          <w:tcPr>
            <w:tcW w:w="1373" w:type="dxa"/>
            <w:vAlign w:val="center"/>
          </w:tcPr>
          <w:p w14:paraId="7C13E169">
            <w:pPr>
              <w:widowControl/>
              <w:jc w:val="center"/>
              <w:rPr>
                <w:rFonts w:ascii="宋体" w:hAnsi="宋体"/>
                <w:sz w:val="18"/>
                <w:szCs w:val="18"/>
              </w:rPr>
            </w:pPr>
            <w:r>
              <w:rPr>
                <w:rFonts w:hint="eastAsia" w:ascii="宋体" w:hAnsi="宋体"/>
                <w:sz w:val="18"/>
                <w:szCs w:val="18"/>
              </w:rPr>
              <w:t>H</w:t>
            </w:r>
            <w:r>
              <w:rPr>
                <w:rFonts w:ascii="宋体" w:hAnsi="宋体"/>
                <w:sz w:val="18"/>
                <w:szCs w:val="18"/>
              </w:rPr>
              <w:t>ZC-2</w:t>
            </w:r>
            <w:r>
              <w:rPr>
                <w:rFonts w:hint="eastAsia" w:ascii="宋体" w:hAnsi="宋体"/>
                <w:sz w:val="18"/>
                <w:szCs w:val="18"/>
              </w:rPr>
              <w:t>型</w:t>
            </w:r>
          </w:p>
        </w:tc>
        <w:tc>
          <w:tcPr>
            <w:tcW w:w="1645" w:type="dxa"/>
            <w:vAlign w:val="center"/>
          </w:tcPr>
          <w:p w14:paraId="21BB73CE">
            <w:pPr>
              <w:widowControl/>
              <w:jc w:val="center"/>
              <w:rPr>
                <w:rFonts w:ascii="宋体" w:hAnsi="宋体"/>
                <w:sz w:val="18"/>
                <w:szCs w:val="18"/>
              </w:rPr>
            </w:pPr>
            <w:r>
              <w:rPr>
                <w:rFonts w:hint="eastAsia" w:ascii="宋体" w:hAnsi="宋体"/>
                <w:sz w:val="18"/>
                <w:szCs w:val="18"/>
              </w:rPr>
              <w:t>西安帅奇</w:t>
            </w:r>
          </w:p>
        </w:tc>
        <w:tc>
          <w:tcPr>
            <w:tcW w:w="1500" w:type="dxa"/>
            <w:vAlign w:val="center"/>
          </w:tcPr>
          <w:p w14:paraId="2F5666A6">
            <w:pPr>
              <w:widowControl/>
              <w:jc w:val="center"/>
              <w:rPr>
                <w:rFonts w:ascii="宋体" w:hAnsi="宋体"/>
                <w:sz w:val="18"/>
                <w:szCs w:val="18"/>
              </w:rPr>
            </w:pPr>
            <w:r>
              <w:rPr>
                <w:rFonts w:hint="eastAsia" w:ascii="宋体" w:hAnsi="宋体"/>
                <w:sz w:val="18"/>
                <w:szCs w:val="18"/>
              </w:rPr>
              <w:t>精度0</w:t>
            </w:r>
            <w:r>
              <w:rPr>
                <w:rFonts w:ascii="宋体" w:hAnsi="宋体"/>
                <w:sz w:val="18"/>
                <w:szCs w:val="18"/>
              </w:rPr>
              <w:t>.0003mm</w:t>
            </w:r>
          </w:p>
        </w:tc>
        <w:tc>
          <w:tcPr>
            <w:tcW w:w="1100" w:type="dxa"/>
            <w:vAlign w:val="center"/>
          </w:tcPr>
          <w:p w14:paraId="20ACCCB7">
            <w:pPr>
              <w:widowControl/>
              <w:jc w:val="center"/>
              <w:rPr>
                <w:rFonts w:ascii="宋体" w:hAnsi="宋体"/>
                <w:sz w:val="18"/>
                <w:szCs w:val="18"/>
              </w:rPr>
            </w:pPr>
            <w:r>
              <w:rPr>
                <w:rFonts w:hint="eastAsia" w:ascii="宋体" w:hAnsi="宋体"/>
                <w:sz w:val="18"/>
                <w:szCs w:val="18"/>
              </w:rPr>
              <w:t>实验室</w:t>
            </w:r>
          </w:p>
        </w:tc>
        <w:tc>
          <w:tcPr>
            <w:tcW w:w="1494" w:type="dxa"/>
            <w:vAlign w:val="center"/>
          </w:tcPr>
          <w:p w14:paraId="20365D3A">
            <w:pPr>
              <w:widowControl/>
              <w:jc w:val="center"/>
              <w:rPr>
                <w:rFonts w:ascii="宋体" w:hAnsi="宋体"/>
                <w:sz w:val="18"/>
                <w:szCs w:val="18"/>
              </w:rPr>
            </w:pPr>
            <w:r>
              <w:rPr>
                <w:rFonts w:hint="eastAsia" w:ascii="宋体" w:hAnsi="宋体"/>
                <w:sz w:val="18"/>
                <w:szCs w:val="18"/>
              </w:rPr>
              <w:t>同轴度</w:t>
            </w:r>
          </w:p>
        </w:tc>
      </w:tr>
      <w:tr w14:paraId="3A55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14:paraId="719828B0">
            <w:pPr>
              <w:widowControl/>
              <w:jc w:val="center"/>
              <w:rPr>
                <w:rFonts w:ascii="宋体" w:hAnsi="宋体"/>
                <w:sz w:val="18"/>
                <w:szCs w:val="18"/>
              </w:rPr>
            </w:pPr>
            <w:r>
              <w:rPr>
                <w:rFonts w:hint="eastAsia" w:ascii="宋体" w:hAnsi="宋体"/>
                <w:sz w:val="18"/>
                <w:szCs w:val="18"/>
              </w:rPr>
              <w:t>绝缘电阻仪</w:t>
            </w:r>
          </w:p>
        </w:tc>
        <w:tc>
          <w:tcPr>
            <w:tcW w:w="1373" w:type="dxa"/>
            <w:vAlign w:val="bottom"/>
          </w:tcPr>
          <w:p w14:paraId="755DE969">
            <w:pPr>
              <w:widowControl/>
              <w:jc w:val="center"/>
              <w:rPr>
                <w:rFonts w:ascii="宋体" w:hAnsi="宋体"/>
                <w:sz w:val="18"/>
                <w:szCs w:val="18"/>
              </w:rPr>
            </w:pPr>
            <w:r>
              <w:rPr>
                <w:rFonts w:hint="eastAsia" w:ascii="宋体" w:hAnsi="宋体"/>
                <w:sz w:val="18"/>
                <w:szCs w:val="18"/>
              </w:rPr>
              <w:t>Z</w:t>
            </w:r>
            <w:r>
              <w:rPr>
                <w:rFonts w:ascii="宋体" w:hAnsi="宋体"/>
                <w:sz w:val="18"/>
                <w:szCs w:val="18"/>
              </w:rPr>
              <w:t>C25-3</w:t>
            </w:r>
            <w:r>
              <w:rPr>
                <w:rFonts w:hint="eastAsia" w:ascii="宋体" w:hAnsi="宋体"/>
                <w:sz w:val="18"/>
                <w:szCs w:val="18"/>
              </w:rPr>
              <w:t>型</w:t>
            </w:r>
          </w:p>
        </w:tc>
        <w:tc>
          <w:tcPr>
            <w:tcW w:w="1645" w:type="dxa"/>
            <w:vAlign w:val="center"/>
          </w:tcPr>
          <w:p w14:paraId="2ED05C8E">
            <w:pPr>
              <w:widowControl/>
              <w:jc w:val="center"/>
              <w:rPr>
                <w:rFonts w:ascii="宋体" w:hAnsi="宋体"/>
                <w:sz w:val="18"/>
                <w:szCs w:val="18"/>
              </w:rPr>
            </w:pPr>
            <w:r>
              <w:rPr>
                <w:rFonts w:hint="eastAsia" w:ascii="宋体" w:hAnsi="宋体"/>
                <w:sz w:val="18"/>
                <w:szCs w:val="18"/>
              </w:rPr>
              <w:t>南京金川</w:t>
            </w:r>
          </w:p>
        </w:tc>
        <w:tc>
          <w:tcPr>
            <w:tcW w:w="1500" w:type="dxa"/>
            <w:vAlign w:val="center"/>
          </w:tcPr>
          <w:p w14:paraId="0A7B6D5C">
            <w:pPr>
              <w:widowControl/>
              <w:jc w:val="center"/>
              <w:rPr>
                <w:rFonts w:ascii="宋体" w:hAnsi="宋体"/>
                <w:sz w:val="18"/>
                <w:szCs w:val="18"/>
              </w:rPr>
            </w:pPr>
            <w:r>
              <w:rPr>
                <w:rFonts w:hint="eastAsia" w:ascii="宋体" w:hAnsi="宋体"/>
                <w:sz w:val="18"/>
                <w:szCs w:val="18"/>
              </w:rPr>
              <w:t>0</w:t>
            </w:r>
            <w:r>
              <w:rPr>
                <w:rFonts w:ascii="宋体" w:hAnsi="宋体"/>
                <w:sz w:val="18"/>
                <w:szCs w:val="18"/>
              </w:rPr>
              <w:t>-500</w:t>
            </w:r>
            <w:r>
              <w:rPr>
                <w:rFonts w:ascii="宋体" w:hAnsi="宋体" w:cstheme="minorBidi"/>
                <w:sz w:val="18"/>
                <w:szCs w:val="18"/>
              </w:rPr>
              <w:t xml:space="preserve"> MΩ</w:t>
            </w:r>
          </w:p>
        </w:tc>
        <w:tc>
          <w:tcPr>
            <w:tcW w:w="1100" w:type="dxa"/>
            <w:vAlign w:val="center"/>
          </w:tcPr>
          <w:p w14:paraId="3C1F179F">
            <w:pPr>
              <w:widowControl/>
              <w:jc w:val="center"/>
              <w:rPr>
                <w:rFonts w:ascii="宋体" w:hAnsi="宋体"/>
                <w:sz w:val="18"/>
                <w:szCs w:val="18"/>
              </w:rPr>
            </w:pPr>
            <w:r>
              <w:rPr>
                <w:rFonts w:hint="eastAsia" w:ascii="宋体" w:hAnsi="宋体"/>
                <w:sz w:val="18"/>
                <w:szCs w:val="18"/>
              </w:rPr>
              <w:t>实验室</w:t>
            </w:r>
          </w:p>
        </w:tc>
        <w:tc>
          <w:tcPr>
            <w:tcW w:w="1494" w:type="dxa"/>
            <w:vAlign w:val="center"/>
          </w:tcPr>
          <w:p w14:paraId="0FDA0741">
            <w:pPr>
              <w:widowControl/>
              <w:jc w:val="center"/>
              <w:rPr>
                <w:rFonts w:ascii="宋体" w:hAnsi="宋体"/>
                <w:sz w:val="18"/>
                <w:szCs w:val="18"/>
              </w:rPr>
            </w:pPr>
            <w:r>
              <w:rPr>
                <w:rFonts w:hint="eastAsia" w:ascii="宋体" w:hAnsi="宋体"/>
                <w:sz w:val="18"/>
                <w:szCs w:val="18"/>
              </w:rPr>
              <w:t>电阻</w:t>
            </w:r>
          </w:p>
        </w:tc>
      </w:tr>
      <w:tr w14:paraId="57AF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14:paraId="6C518DC1">
            <w:pPr>
              <w:widowControl/>
              <w:jc w:val="center"/>
              <w:rPr>
                <w:rFonts w:ascii="宋体" w:hAnsi="宋体"/>
                <w:sz w:val="18"/>
                <w:szCs w:val="18"/>
              </w:rPr>
            </w:pPr>
            <w:r>
              <w:rPr>
                <w:rFonts w:hint="eastAsia" w:ascii="宋体" w:hAnsi="宋体"/>
                <w:sz w:val="18"/>
                <w:szCs w:val="18"/>
              </w:rPr>
              <w:t>水平仪</w:t>
            </w:r>
          </w:p>
        </w:tc>
        <w:tc>
          <w:tcPr>
            <w:tcW w:w="1373" w:type="dxa"/>
            <w:vAlign w:val="center"/>
          </w:tcPr>
          <w:p w14:paraId="0FB812F6">
            <w:pPr>
              <w:widowControl/>
              <w:jc w:val="center"/>
              <w:rPr>
                <w:rFonts w:ascii="宋体" w:hAnsi="宋体"/>
                <w:sz w:val="18"/>
                <w:szCs w:val="18"/>
              </w:rPr>
            </w:pPr>
            <w:r>
              <w:rPr>
                <w:rFonts w:hint="eastAsia" w:ascii="宋体" w:hAnsi="宋体"/>
                <w:sz w:val="18"/>
                <w:szCs w:val="18"/>
              </w:rPr>
              <w:t>S</w:t>
            </w:r>
            <w:r>
              <w:rPr>
                <w:rFonts w:ascii="宋体" w:hAnsi="宋体"/>
                <w:sz w:val="18"/>
                <w:szCs w:val="18"/>
              </w:rPr>
              <w:t>K150-</w:t>
            </w:r>
          </w:p>
        </w:tc>
        <w:tc>
          <w:tcPr>
            <w:tcW w:w="1645" w:type="dxa"/>
            <w:vAlign w:val="center"/>
          </w:tcPr>
          <w:p w14:paraId="23BC25EF">
            <w:pPr>
              <w:widowControl/>
              <w:jc w:val="center"/>
              <w:rPr>
                <w:rFonts w:ascii="宋体" w:hAnsi="宋体"/>
                <w:sz w:val="18"/>
                <w:szCs w:val="18"/>
              </w:rPr>
            </w:pPr>
            <w:r>
              <w:rPr>
                <w:rFonts w:hint="eastAsia" w:ascii="宋体" w:hAnsi="宋体"/>
                <w:sz w:val="18"/>
                <w:szCs w:val="18"/>
              </w:rPr>
              <w:t>沈阳艾隆</w:t>
            </w:r>
          </w:p>
        </w:tc>
        <w:tc>
          <w:tcPr>
            <w:tcW w:w="1500" w:type="dxa"/>
            <w:vAlign w:val="center"/>
          </w:tcPr>
          <w:p w14:paraId="04080F01">
            <w:pPr>
              <w:widowControl/>
              <w:jc w:val="center"/>
              <w:rPr>
                <w:rFonts w:ascii="宋体" w:hAnsi="宋体"/>
                <w:sz w:val="18"/>
                <w:szCs w:val="18"/>
              </w:rPr>
            </w:pPr>
            <w:r>
              <w:rPr>
                <w:rFonts w:hint="eastAsia" w:ascii="宋体" w:hAnsi="宋体"/>
                <w:sz w:val="18"/>
                <w:szCs w:val="18"/>
              </w:rPr>
              <w:t>0</w:t>
            </w:r>
            <w:r>
              <w:rPr>
                <w:rFonts w:ascii="宋体" w:hAnsi="宋体"/>
                <w:sz w:val="18"/>
                <w:szCs w:val="18"/>
              </w:rPr>
              <w:t>-48</w:t>
            </w:r>
          </w:p>
        </w:tc>
        <w:tc>
          <w:tcPr>
            <w:tcW w:w="1100" w:type="dxa"/>
            <w:vAlign w:val="center"/>
          </w:tcPr>
          <w:p w14:paraId="44345049">
            <w:pPr>
              <w:widowControl/>
              <w:jc w:val="center"/>
              <w:rPr>
                <w:rFonts w:ascii="宋体" w:hAnsi="宋体"/>
                <w:sz w:val="18"/>
                <w:szCs w:val="18"/>
              </w:rPr>
            </w:pPr>
            <w:r>
              <w:rPr>
                <w:rFonts w:hint="eastAsia" w:ascii="宋体" w:hAnsi="宋体"/>
                <w:sz w:val="18"/>
                <w:szCs w:val="18"/>
              </w:rPr>
              <w:t>实验室</w:t>
            </w:r>
          </w:p>
        </w:tc>
        <w:tc>
          <w:tcPr>
            <w:tcW w:w="1494" w:type="dxa"/>
            <w:vAlign w:val="center"/>
          </w:tcPr>
          <w:p w14:paraId="25F8DFD5">
            <w:pPr>
              <w:widowControl/>
              <w:jc w:val="center"/>
              <w:rPr>
                <w:rFonts w:ascii="宋体" w:hAnsi="宋体"/>
                <w:sz w:val="18"/>
                <w:szCs w:val="18"/>
              </w:rPr>
            </w:pPr>
            <w:r>
              <w:rPr>
                <w:rFonts w:hint="eastAsia" w:ascii="宋体" w:hAnsi="宋体"/>
                <w:sz w:val="18"/>
                <w:szCs w:val="18"/>
              </w:rPr>
              <w:t>水平精度</w:t>
            </w:r>
          </w:p>
        </w:tc>
      </w:tr>
      <w:tr w14:paraId="4843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14:paraId="08261D21">
            <w:pPr>
              <w:widowControl/>
              <w:jc w:val="center"/>
              <w:rPr>
                <w:rFonts w:ascii="宋体" w:hAnsi="宋体"/>
                <w:sz w:val="18"/>
                <w:szCs w:val="18"/>
              </w:rPr>
            </w:pPr>
            <w:r>
              <w:rPr>
                <w:rFonts w:hint="eastAsia" w:ascii="宋体" w:hAnsi="宋体"/>
                <w:sz w:val="18"/>
                <w:szCs w:val="18"/>
              </w:rPr>
              <w:t>秒表</w:t>
            </w:r>
          </w:p>
        </w:tc>
        <w:tc>
          <w:tcPr>
            <w:tcW w:w="1373" w:type="dxa"/>
            <w:vAlign w:val="center"/>
          </w:tcPr>
          <w:p w14:paraId="39383E33">
            <w:pPr>
              <w:widowControl/>
              <w:jc w:val="center"/>
              <w:rPr>
                <w:rFonts w:ascii="宋体" w:hAnsi="宋体"/>
                <w:sz w:val="18"/>
                <w:szCs w:val="18"/>
              </w:rPr>
            </w:pPr>
            <w:r>
              <w:rPr>
                <w:rFonts w:hint="eastAsia" w:ascii="宋体" w:hAnsi="宋体"/>
                <w:sz w:val="18"/>
                <w:szCs w:val="18"/>
              </w:rPr>
              <w:t>/</w:t>
            </w:r>
          </w:p>
        </w:tc>
        <w:tc>
          <w:tcPr>
            <w:tcW w:w="1645" w:type="dxa"/>
            <w:vAlign w:val="center"/>
          </w:tcPr>
          <w:p w14:paraId="3DB701BF">
            <w:pPr>
              <w:widowControl/>
              <w:jc w:val="center"/>
              <w:rPr>
                <w:rFonts w:ascii="宋体" w:hAnsi="宋体"/>
                <w:sz w:val="18"/>
                <w:szCs w:val="18"/>
              </w:rPr>
            </w:pPr>
            <w:r>
              <w:rPr>
                <w:rFonts w:hint="eastAsia" w:ascii="宋体" w:hAnsi="宋体"/>
                <w:sz w:val="18"/>
                <w:szCs w:val="18"/>
              </w:rPr>
              <w:t>义乌逵达</w:t>
            </w:r>
          </w:p>
        </w:tc>
        <w:tc>
          <w:tcPr>
            <w:tcW w:w="1500" w:type="dxa"/>
            <w:vAlign w:val="center"/>
          </w:tcPr>
          <w:p w14:paraId="30CAC059">
            <w:pPr>
              <w:widowControl/>
              <w:jc w:val="center"/>
              <w:rPr>
                <w:rFonts w:ascii="宋体" w:hAnsi="宋体"/>
                <w:sz w:val="18"/>
                <w:szCs w:val="18"/>
              </w:rPr>
            </w:pPr>
            <w:r>
              <w:rPr>
                <w:rFonts w:hint="eastAsia" w:ascii="宋体" w:hAnsi="宋体"/>
                <w:sz w:val="18"/>
                <w:szCs w:val="18"/>
              </w:rPr>
              <w:t>0</w:t>
            </w:r>
            <w:r>
              <w:rPr>
                <w:rFonts w:ascii="宋体" w:hAnsi="宋体"/>
                <w:sz w:val="18"/>
                <w:szCs w:val="18"/>
              </w:rPr>
              <w:t>.001</w:t>
            </w:r>
            <w:r>
              <w:rPr>
                <w:rFonts w:hint="eastAsia" w:ascii="宋体" w:hAnsi="宋体"/>
                <w:sz w:val="18"/>
                <w:szCs w:val="18"/>
              </w:rPr>
              <w:t>秒</w:t>
            </w:r>
          </w:p>
        </w:tc>
        <w:tc>
          <w:tcPr>
            <w:tcW w:w="1100" w:type="dxa"/>
            <w:vAlign w:val="center"/>
          </w:tcPr>
          <w:p w14:paraId="6D41E681">
            <w:pPr>
              <w:widowControl/>
              <w:jc w:val="center"/>
              <w:rPr>
                <w:rFonts w:ascii="宋体" w:hAnsi="宋体"/>
                <w:sz w:val="18"/>
                <w:szCs w:val="18"/>
              </w:rPr>
            </w:pPr>
            <w:r>
              <w:rPr>
                <w:rFonts w:hint="eastAsia" w:ascii="宋体" w:hAnsi="宋体"/>
                <w:sz w:val="18"/>
                <w:szCs w:val="18"/>
              </w:rPr>
              <w:t>实验室</w:t>
            </w:r>
          </w:p>
        </w:tc>
        <w:tc>
          <w:tcPr>
            <w:tcW w:w="1494" w:type="dxa"/>
            <w:vAlign w:val="center"/>
          </w:tcPr>
          <w:p w14:paraId="1434CA58">
            <w:pPr>
              <w:widowControl/>
              <w:jc w:val="center"/>
              <w:rPr>
                <w:rFonts w:ascii="宋体" w:hAnsi="宋体"/>
                <w:sz w:val="18"/>
                <w:szCs w:val="18"/>
              </w:rPr>
            </w:pPr>
            <w:r>
              <w:rPr>
                <w:rFonts w:hint="eastAsia" w:ascii="宋体" w:hAnsi="宋体"/>
                <w:sz w:val="18"/>
                <w:szCs w:val="18"/>
              </w:rPr>
              <w:t>时间</w:t>
            </w:r>
          </w:p>
        </w:tc>
      </w:tr>
      <w:tr w14:paraId="261C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684" w:type="dxa"/>
            <w:vAlign w:val="center"/>
          </w:tcPr>
          <w:p w14:paraId="56EBC22C">
            <w:pPr>
              <w:widowControl/>
              <w:jc w:val="center"/>
              <w:rPr>
                <w:rFonts w:ascii="宋体" w:hAnsi="宋体"/>
                <w:sz w:val="18"/>
                <w:szCs w:val="18"/>
              </w:rPr>
            </w:pPr>
            <w:r>
              <w:rPr>
                <w:rFonts w:hint="eastAsia" w:ascii="宋体" w:hAnsi="宋体"/>
                <w:sz w:val="18"/>
                <w:szCs w:val="18"/>
              </w:rPr>
              <w:t>外径千分尺</w:t>
            </w:r>
          </w:p>
        </w:tc>
        <w:tc>
          <w:tcPr>
            <w:tcW w:w="1373" w:type="dxa"/>
            <w:vAlign w:val="center"/>
          </w:tcPr>
          <w:p w14:paraId="2D84F9E9">
            <w:pPr>
              <w:widowControl/>
              <w:jc w:val="center"/>
              <w:rPr>
                <w:rFonts w:ascii="宋体" w:hAnsi="宋体"/>
                <w:sz w:val="18"/>
                <w:szCs w:val="18"/>
              </w:rPr>
            </w:pPr>
            <w:r>
              <w:rPr>
                <w:rFonts w:hint="eastAsia" w:ascii="宋体" w:hAnsi="宋体"/>
                <w:sz w:val="18"/>
                <w:szCs w:val="18"/>
              </w:rPr>
              <w:t>/</w:t>
            </w:r>
          </w:p>
        </w:tc>
        <w:tc>
          <w:tcPr>
            <w:tcW w:w="1645" w:type="dxa"/>
            <w:vAlign w:val="center"/>
          </w:tcPr>
          <w:p w14:paraId="61743702">
            <w:pPr>
              <w:widowControl/>
              <w:jc w:val="left"/>
              <w:rPr>
                <w:rFonts w:ascii="宋体" w:hAnsi="宋体"/>
                <w:sz w:val="18"/>
                <w:szCs w:val="18"/>
              </w:rPr>
            </w:pPr>
            <w:r>
              <w:rPr>
                <w:rFonts w:ascii="宋体" w:hAnsi="宋体"/>
                <w:sz w:val="18"/>
                <w:szCs w:val="18"/>
              </w:rPr>
              <w:t xml:space="preserve">     </w:t>
            </w:r>
            <w:r>
              <w:rPr>
                <w:rFonts w:hint="eastAsia" w:ascii="宋体" w:hAnsi="宋体"/>
                <w:sz w:val="18"/>
                <w:szCs w:val="18"/>
              </w:rPr>
              <w:t>日本三丰</w:t>
            </w:r>
          </w:p>
        </w:tc>
        <w:tc>
          <w:tcPr>
            <w:tcW w:w="1500" w:type="dxa"/>
            <w:vAlign w:val="center"/>
          </w:tcPr>
          <w:p w14:paraId="426F3FFD">
            <w:pPr>
              <w:widowControl/>
              <w:jc w:val="center"/>
              <w:rPr>
                <w:rFonts w:ascii="宋体" w:hAnsi="宋体"/>
                <w:sz w:val="18"/>
                <w:szCs w:val="18"/>
              </w:rPr>
            </w:pPr>
            <w:r>
              <w:rPr>
                <w:rFonts w:hint="eastAsia" w:ascii="宋体" w:hAnsi="宋体"/>
                <w:sz w:val="18"/>
                <w:szCs w:val="18"/>
              </w:rPr>
              <w:t>0</w:t>
            </w:r>
            <w:r>
              <w:rPr>
                <w:rFonts w:ascii="宋体" w:hAnsi="宋体"/>
                <w:sz w:val="18"/>
                <w:szCs w:val="18"/>
              </w:rPr>
              <w:t>-25mm</w:t>
            </w:r>
          </w:p>
        </w:tc>
        <w:tc>
          <w:tcPr>
            <w:tcW w:w="1100" w:type="dxa"/>
            <w:vAlign w:val="center"/>
          </w:tcPr>
          <w:p w14:paraId="40F694D7">
            <w:pPr>
              <w:widowControl/>
              <w:jc w:val="center"/>
              <w:rPr>
                <w:rFonts w:ascii="宋体" w:hAnsi="宋体"/>
                <w:sz w:val="18"/>
                <w:szCs w:val="18"/>
              </w:rPr>
            </w:pPr>
            <w:r>
              <w:rPr>
                <w:rFonts w:hint="eastAsia" w:ascii="宋体" w:hAnsi="宋体"/>
                <w:sz w:val="18"/>
                <w:szCs w:val="18"/>
              </w:rPr>
              <w:t>实验室</w:t>
            </w:r>
          </w:p>
        </w:tc>
        <w:tc>
          <w:tcPr>
            <w:tcW w:w="1494" w:type="dxa"/>
            <w:vAlign w:val="center"/>
          </w:tcPr>
          <w:p w14:paraId="4EB8E455">
            <w:pPr>
              <w:widowControl/>
              <w:jc w:val="center"/>
              <w:rPr>
                <w:rFonts w:ascii="宋体" w:hAnsi="宋体"/>
                <w:sz w:val="18"/>
                <w:szCs w:val="18"/>
              </w:rPr>
            </w:pPr>
            <w:r>
              <w:rPr>
                <w:rFonts w:hint="eastAsia" w:ascii="宋体" w:hAnsi="宋体"/>
                <w:sz w:val="18"/>
                <w:szCs w:val="18"/>
              </w:rPr>
              <w:t>尺寸</w:t>
            </w:r>
          </w:p>
        </w:tc>
      </w:tr>
    </w:tbl>
    <w:p w14:paraId="413CDA07">
      <w:pPr>
        <w:widowControl/>
        <w:spacing w:line="300" w:lineRule="auto"/>
        <w:ind w:firstLine="2951" w:firstLineChars="1400"/>
        <w:jc w:val="left"/>
        <w:rPr>
          <w:rFonts w:ascii="宋体" w:hAnsi="宋体"/>
          <w:b/>
          <w:szCs w:val="21"/>
        </w:rPr>
      </w:pPr>
      <w:r>
        <w:rPr>
          <w:rFonts w:hint="eastAsia" w:ascii="宋体" w:hAnsi="宋体"/>
          <w:b/>
          <w:szCs w:val="21"/>
        </w:rPr>
        <w:t>图2</w:t>
      </w:r>
      <w:r>
        <w:rPr>
          <w:rFonts w:ascii="宋体" w:hAnsi="宋体"/>
          <w:b/>
          <w:szCs w:val="21"/>
        </w:rPr>
        <w:t xml:space="preserve"> </w:t>
      </w:r>
      <w:r>
        <w:rPr>
          <w:rFonts w:hint="eastAsia" w:ascii="宋体" w:hAnsi="宋体"/>
          <w:b/>
          <w:szCs w:val="21"/>
        </w:rPr>
        <w:t>关键检测和研发设备</w:t>
      </w:r>
    </w:p>
    <w:p w14:paraId="5482CB8C">
      <w:pPr>
        <w:widowControl/>
        <w:spacing w:line="300" w:lineRule="auto"/>
        <w:ind w:firstLine="420" w:firstLineChars="200"/>
        <w:jc w:val="left"/>
      </w:pPr>
      <w:r>
        <w:drawing>
          <wp:inline distT="0" distB="0" distL="0" distR="0">
            <wp:extent cx="2419985" cy="2077085"/>
            <wp:effectExtent l="0" t="0" r="0" b="0"/>
            <wp:docPr id="2888674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67474"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41749" cy="2095598"/>
                    </a:xfrm>
                    <a:prstGeom prst="rect">
                      <a:avLst/>
                    </a:prstGeom>
                    <a:noFill/>
                    <a:ln>
                      <a:noFill/>
                    </a:ln>
                  </pic:spPr>
                </pic:pic>
              </a:graphicData>
            </a:graphic>
          </wp:inline>
        </w:drawing>
      </w:r>
      <w:r>
        <w:rPr>
          <w:rFonts w:hint="eastAsia"/>
        </w:rPr>
        <w:t xml:space="preserve">       </w:t>
      </w:r>
      <w:r>
        <w:rPr>
          <w:rFonts w:asciiTheme="minorEastAsia" w:hAnsiTheme="minorEastAsia"/>
          <w:szCs w:val="21"/>
        </w:rPr>
        <w:drawing>
          <wp:inline distT="0" distB="0" distL="0" distR="0">
            <wp:extent cx="2390140" cy="2070735"/>
            <wp:effectExtent l="0" t="0" r="0" b="5715"/>
            <wp:docPr id="20612659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65965"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25867" cy="2101494"/>
                    </a:xfrm>
                    <a:prstGeom prst="rect">
                      <a:avLst/>
                    </a:prstGeom>
                    <a:noFill/>
                    <a:ln>
                      <a:noFill/>
                    </a:ln>
                  </pic:spPr>
                </pic:pic>
              </a:graphicData>
            </a:graphic>
          </wp:inline>
        </w:drawing>
      </w:r>
    </w:p>
    <w:p w14:paraId="2E9E8C7E">
      <w:pPr>
        <w:widowControl/>
        <w:spacing w:line="300" w:lineRule="auto"/>
        <w:ind w:left="420" w:leftChars="200" w:firstLine="1054" w:firstLineChars="500"/>
        <w:jc w:val="left"/>
        <w:rPr>
          <w:color w:val="FF0000"/>
        </w:rPr>
      </w:pPr>
      <w:r>
        <w:rPr>
          <w:rFonts w:hint="eastAsia" w:asciiTheme="minorEastAsia" w:hAnsiTheme="minorEastAsia"/>
          <w:b/>
          <w:szCs w:val="21"/>
        </w:rPr>
        <w:t>同轴度测量仪</w:t>
      </w:r>
      <w:r>
        <w:rPr>
          <w:rFonts w:hint="eastAsia" w:ascii="宋体" w:hAnsi="宋体"/>
          <w:b/>
          <w:color w:val="FF0000"/>
          <w:szCs w:val="21"/>
        </w:rPr>
        <w:t xml:space="preserve"> </w:t>
      </w:r>
      <w:r>
        <w:rPr>
          <w:rFonts w:ascii="宋体" w:hAnsi="宋体"/>
          <w:b/>
          <w:color w:val="FF0000"/>
          <w:szCs w:val="21"/>
        </w:rPr>
        <w:t xml:space="preserve">  </w:t>
      </w:r>
      <w:r>
        <w:rPr>
          <w:color w:val="FF0000"/>
        </w:rPr>
        <w:t xml:space="preserve">                        </w:t>
      </w:r>
      <w:r>
        <w:rPr>
          <w:rFonts w:ascii="宋体" w:hAnsi="宋体"/>
          <w:b/>
          <w:color w:val="FF0000"/>
          <w:szCs w:val="21"/>
        </w:rPr>
        <w:t xml:space="preserve">    </w:t>
      </w:r>
      <w:r>
        <w:rPr>
          <w:rFonts w:hint="eastAsia" w:asciiTheme="minorEastAsia" w:hAnsiTheme="minorEastAsia"/>
          <w:b/>
          <w:szCs w:val="21"/>
        </w:rPr>
        <w:t>引伸计标定器</w:t>
      </w:r>
      <w:r>
        <w:rPr>
          <w:rFonts w:hint="eastAsia" w:asciiTheme="minorEastAsia" w:hAnsiTheme="minorEastAsia"/>
          <w:color w:val="FF0000"/>
          <w:szCs w:val="21"/>
        </w:rPr>
        <w:t xml:space="preserve"> </w:t>
      </w:r>
      <w:r>
        <w:rPr>
          <w:rFonts w:asciiTheme="minorEastAsia" w:hAnsiTheme="minorEastAsia"/>
          <w:szCs w:val="21"/>
        </w:rPr>
        <w:drawing>
          <wp:inline distT="0" distB="0" distL="0" distR="0">
            <wp:extent cx="2514600" cy="2106930"/>
            <wp:effectExtent l="0" t="0" r="0" b="7620"/>
            <wp:docPr id="1989917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1796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39820" cy="2128229"/>
                    </a:xfrm>
                    <a:prstGeom prst="rect">
                      <a:avLst/>
                    </a:prstGeom>
                    <a:noFill/>
                    <a:ln>
                      <a:noFill/>
                    </a:ln>
                  </pic:spPr>
                </pic:pic>
              </a:graphicData>
            </a:graphic>
          </wp:inline>
        </w:drawing>
      </w:r>
      <w:r>
        <w:rPr>
          <w:color w:val="FF0000"/>
        </w:rPr>
        <w:t xml:space="preserve">      </w:t>
      </w:r>
      <w:r>
        <w:rPr>
          <w:color w:val="FF0000"/>
        </w:rPr>
        <w:drawing>
          <wp:inline distT="0" distB="0" distL="114300" distR="114300">
            <wp:extent cx="2429510" cy="2082800"/>
            <wp:effectExtent l="0" t="0" r="8890" b="0"/>
            <wp:docPr id="3" name="图片 3" descr="8a0cb31b4473dcf9418680ba7a5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a0cb31b4473dcf9418680ba7a57bd0"/>
                    <pic:cNvPicPr>
                      <a:picLocks noChangeAspect="1"/>
                    </pic:cNvPicPr>
                  </pic:nvPicPr>
                  <pic:blipFill>
                    <a:blip r:embed="rId12"/>
                    <a:stretch>
                      <a:fillRect/>
                    </a:stretch>
                  </pic:blipFill>
                  <pic:spPr>
                    <a:xfrm>
                      <a:off x="0" y="0"/>
                      <a:ext cx="2440222" cy="2091460"/>
                    </a:xfrm>
                    <a:prstGeom prst="rect">
                      <a:avLst/>
                    </a:prstGeom>
                  </pic:spPr>
                </pic:pic>
              </a:graphicData>
            </a:graphic>
          </wp:inline>
        </w:drawing>
      </w:r>
    </w:p>
    <w:p w14:paraId="4681BC80">
      <w:pPr>
        <w:spacing w:line="300" w:lineRule="auto"/>
        <w:ind w:right="552" w:rightChars="263"/>
        <w:rPr>
          <w:rFonts w:ascii="宋体" w:hAnsi="宋体"/>
          <w:b/>
          <w:color w:val="FF0000"/>
          <w:szCs w:val="21"/>
        </w:rPr>
      </w:pPr>
      <w:r>
        <w:rPr>
          <w:rFonts w:hint="eastAsia" w:asciiTheme="minorEastAsia" w:hAnsiTheme="minorEastAsia"/>
          <w:b/>
          <w:color w:val="FF0000"/>
          <w:szCs w:val="21"/>
        </w:rPr>
        <w:t xml:space="preserve"> </w:t>
      </w:r>
      <w:r>
        <w:rPr>
          <w:rFonts w:asciiTheme="minorEastAsia" w:hAnsiTheme="minorEastAsia"/>
          <w:b/>
          <w:color w:val="FF0000"/>
          <w:szCs w:val="21"/>
        </w:rPr>
        <w:t xml:space="preserve">      </w:t>
      </w:r>
      <w:r>
        <w:rPr>
          <w:rFonts w:ascii="宋体" w:hAnsi="宋体"/>
          <w:b/>
          <w:color w:val="FF0000"/>
          <w:szCs w:val="21"/>
        </w:rPr>
        <w:t xml:space="preserve">     </w:t>
      </w:r>
      <w:r>
        <w:rPr>
          <w:rFonts w:ascii="宋体" w:hAnsi="宋体"/>
          <w:b/>
          <w:szCs w:val="21"/>
        </w:rPr>
        <w:t xml:space="preserve">    </w:t>
      </w:r>
      <w:r>
        <w:rPr>
          <w:rFonts w:hint="eastAsia" w:ascii="宋体" w:hAnsi="宋体"/>
          <w:b/>
          <w:szCs w:val="21"/>
        </w:rPr>
        <w:t>洛氏硬度计</w:t>
      </w:r>
      <w:r>
        <w:rPr>
          <w:rFonts w:ascii="宋体" w:hAnsi="宋体"/>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ab/>
      </w:r>
      <w:r>
        <w:rPr>
          <w:rFonts w:asciiTheme="minorEastAsia" w:hAnsiTheme="minorEastAsia"/>
          <w:b/>
          <w:color w:val="FF0000"/>
          <w:szCs w:val="21"/>
        </w:rPr>
        <w:t xml:space="preserve">  </w:t>
      </w:r>
      <w:r>
        <w:rPr>
          <w:rFonts w:hint="eastAsia" w:asciiTheme="minorEastAsia" w:hAnsiTheme="minorEastAsia"/>
          <w:b/>
          <w:szCs w:val="21"/>
        </w:rPr>
        <w:t>声级计</w:t>
      </w:r>
    </w:p>
    <w:p w14:paraId="7A295F93">
      <w:pPr>
        <w:pStyle w:val="2"/>
        <w:numPr>
          <w:ilvl w:val="0"/>
          <w:numId w:val="1"/>
        </w:numPr>
        <w:tabs>
          <w:tab w:val="left" w:pos="567"/>
        </w:tabs>
        <w:spacing w:before="0" w:after="0" w:line="300" w:lineRule="auto"/>
        <w:ind w:left="0" w:firstLine="0"/>
        <w:jc w:val="left"/>
        <w:rPr>
          <w:rFonts w:ascii="宋体" w:hAnsi="宋体"/>
          <w:sz w:val="32"/>
          <w:szCs w:val="32"/>
        </w:rPr>
      </w:pPr>
      <w:bookmarkStart w:id="31" w:name="_Toc47951667"/>
      <w:bookmarkStart w:id="32" w:name="_Toc8221283"/>
      <w:r>
        <w:rPr>
          <w:rFonts w:hint="eastAsia" w:ascii="宋体" w:hAnsi="宋体"/>
          <w:sz w:val="32"/>
          <w:szCs w:val="32"/>
        </w:rPr>
        <w:t>市场分布</w:t>
      </w:r>
      <w:bookmarkEnd w:id="31"/>
      <w:bookmarkEnd w:id="32"/>
    </w:p>
    <w:p w14:paraId="663B10D9">
      <w:pPr>
        <w:ind w:firstLine="480" w:firstLineChars="200"/>
        <w:rPr>
          <w:rFonts w:ascii="宋体" w:hAnsi="宋体"/>
          <w:sz w:val="24"/>
          <w:szCs w:val="24"/>
        </w:rPr>
      </w:pPr>
      <w:r>
        <w:rPr>
          <w:rFonts w:hint="eastAsia" w:ascii="宋体" w:hAnsi="宋体"/>
          <w:sz w:val="24"/>
          <w:szCs w:val="24"/>
        </w:rPr>
        <w:t>公司在国内外设有数个分部，市场布局覆盖中国1</w:t>
      </w:r>
      <w:r>
        <w:rPr>
          <w:rFonts w:ascii="宋体" w:hAnsi="宋体"/>
          <w:sz w:val="24"/>
          <w:szCs w:val="24"/>
        </w:rPr>
        <w:t>5</w:t>
      </w:r>
      <w:r>
        <w:rPr>
          <w:rFonts w:hint="eastAsia" w:ascii="宋体" w:hAnsi="宋体"/>
          <w:sz w:val="24"/>
          <w:szCs w:val="24"/>
        </w:rPr>
        <w:t>余省、1</w:t>
      </w:r>
      <w:r>
        <w:rPr>
          <w:rFonts w:ascii="宋体" w:hAnsi="宋体"/>
          <w:sz w:val="24"/>
          <w:szCs w:val="24"/>
        </w:rPr>
        <w:t>00</w:t>
      </w:r>
      <w:r>
        <w:rPr>
          <w:rFonts w:hint="eastAsia" w:ascii="宋体" w:hAnsi="宋体"/>
          <w:sz w:val="24"/>
          <w:szCs w:val="24"/>
        </w:rPr>
        <w:t>余县市及亚洲多国，享有一定的知名度与美誉度。</w:t>
      </w:r>
    </w:p>
    <w:p w14:paraId="20448BE1">
      <w:pPr>
        <w:spacing w:line="300" w:lineRule="auto"/>
        <w:jc w:val="center"/>
        <w:rPr>
          <w:rFonts w:ascii="宋体" w:hAnsi="宋体"/>
          <w:b/>
          <w:szCs w:val="21"/>
        </w:rPr>
      </w:pPr>
      <w:r>
        <w:rPr>
          <w:rFonts w:hint="eastAsia" w:ascii="宋体" w:hAnsi="宋体"/>
          <w:b/>
          <w:szCs w:val="21"/>
        </w:rPr>
        <w:t>图</w:t>
      </w:r>
      <w:r>
        <w:rPr>
          <w:rFonts w:ascii="宋体" w:hAnsi="宋体"/>
          <w:b/>
          <w:szCs w:val="21"/>
        </w:rPr>
        <w:t>3 市场细分情况</w:t>
      </w:r>
    </w:p>
    <w:p w14:paraId="00B70BC9">
      <w:pPr>
        <w:spacing w:line="300" w:lineRule="auto"/>
        <w:rPr>
          <w:rFonts w:ascii="宋体" w:hAnsi="宋体"/>
          <w:b/>
          <w:szCs w:val="21"/>
        </w:rPr>
      </w:pPr>
      <w:r>
        <w:rPr>
          <w:rFonts w:hint="eastAsia"/>
        </w:rPr>
        <w:drawing>
          <wp:inline distT="0" distB="0" distL="114300" distR="114300">
            <wp:extent cx="5708650" cy="2317750"/>
            <wp:effectExtent l="0" t="0" r="6350" b="6350"/>
            <wp:docPr id="518076318" name="图片 518076318" descr="83ea953b1187bda43019c0e2d0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6318" name="图片 518076318" descr="83ea953b1187bda43019c0e2d070785"/>
                    <pic:cNvPicPr>
                      <a:picLocks noChangeAspect="1"/>
                    </pic:cNvPicPr>
                  </pic:nvPicPr>
                  <pic:blipFill>
                    <a:blip r:embed="rId13"/>
                    <a:stretch>
                      <a:fillRect/>
                    </a:stretch>
                  </pic:blipFill>
                  <pic:spPr>
                    <a:xfrm>
                      <a:off x="0" y="0"/>
                      <a:ext cx="5708650" cy="2317750"/>
                    </a:xfrm>
                    <a:prstGeom prst="rect">
                      <a:avLst/>
                    </a:prstGeom>
                  </pic:spPr>
                </pic:pic>
              </a:graphicData>
            </a:graphic>
          </wp:inline>
        </w:drawing>
      </w:r>
    </w:p>
    <w:p w14:paraId="3D9F5C13">
      <w:pPr>
        <w:spacing w:line="300" w:lineRule="auto"/>
        <w:jc w:val="center"/>
        <w:rPr>
          <w:rFonts w:ascii="宋体" w:hAnsi="宋体"/>
          <w:b/>
          <w:szCs w:val="21"/>
        </w:rPr>
      </w:pPr>
      <w:r>
        <w:rPr>
          <w:rFonts w:hint="eastAsia" w:ascii="宋体" w:hAnsi="宋体"/>
          <w:b/>
          <w:szCs w:val="21"/>
        </w:rPr>
        <w:t>图</w:t>
      </w:r>
      <w:r>
        <w:rPr>
          <w:rFonts w:ascii="宋体" w:hAnsi="宋体"/>
          <w:b/>
          <w:szCs w:val="21"/>
        </w:rPr>
        <w:t xml:space="preserve">4 </w:t>
      </w:r>
      <w:r>
        <w:rPr>
          <w:rFonts w:hint="eastAsia" w:ascii="宋体" w:hAnsi="宋体"/>
          <w:b/>
          <w:szCs w:val="21"/>
        </w:rPr>
        <w:t xml:space="preserve"> 区域销售占比</w:t>
      </w:r>
    </w:p>
    <w:p w14:paraId="259C2D04">
      <w:pPr>
        <w:spacing w:line="300" w:lineRule="auto"/>
        <w:rPr>
          <w:rFonts w:ascii="宋体" w:hAnsi="宋体"/>
          <w:b/>
          <w:szCs w:val="21"/>
          <w:highlight w:val="green"/>
        </w:rPr>
      </w:pPr>
      <w:r>
        <w:rPr>
          <w:rFonts w:hint="eastAsia"/>
        </w:rPr>
        <w:drawing>
          <wp:inline distT="0" distB="0" distL="114300" distR="114300">
            <wp:extent cx="5702300" cy="2355850"/>
            <wp:effectExtent l="0" t="0" r="0" b="6350"/>
            <wp:docPr id="2" name="图片 2" descr="bdc0644251b42e82d90c46bff305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dc0644251b42e82d90c46bff3059c6"/>
                    <pic:cNvPicPr>
                      <a:picLocks noChangeAspect="1"/>
                    </pic:cNvPicPr>
                  </pic:nvPicPr>
                  <pic:blipFill>
                    <a:blip r:embed="rId14"/>
                    <a:stretch>
                      <a:fillRect/>
                    </a:stretch>
                  </pic:blipFill>
                  <pic:spPr>
                    <a:xfrm>
                      <a:off x="0" y="0"/>
                      <a:ext cx="5702300" cy="2355850"/>
                    </a:xfrm>
                    <a:prstGeom prst="rect">
                      <a:avLst/>
                    </a:prstGeom>
                  </pic:spPr>
                </pic:pic>
              </a:graphicData>
            </a:graphic>
          </wp:inline>
        </w:drawing>
      </w:r>
    </w:p>
    <w:p w14:paraId="7377C805">
      <w:pPr>
        <w:pStyle w:val="2"/>
        <w:numPr>
          <w:ilvl w:val="0"/>
          <w:numId w:val="1"/>
        </w:numPr>
        <w:tabs>
          <w:tab w:val="left" w:pos="567"/>
        </w:tabs>
        <w:spacing w:before="0" w:after="0" w:line="300" w:lineRule="auto"/>
        <w:ind w:left="0" w:firstLine="0"/>
        <w:jc w:val="left"/>
        <w:rPr>
          <w:rFonts w:ascii="宋体" w:hAnsi="宋体"/>
          <w:sz w:val="32"/>
          <w:szCs w:val="32"/>
        </w:rPr>
      </w:pPr>
      <w:bookmarkStart w:id="33" w:name="_Toc456263975"/>
      <w:bookmarkStart w:id="34" w:name="_Toc47951668"/>
      <w:bookmarkStart w:id="35" w:name="_Toc8221284"/>
      <w:r>
        <w:rPr>
          <w:rFonts w:hint="eastAsia" w:ascii="宋体" w:hAnsi="宋体"/>
          <w:sz w:val="32"/>
          <w:szCs w:val="32"/>
        </w:rPr>
        <w:t>利益相关方沟通</w:t>
      </w:r>
      <w:bookmarkEnd w:id="33"/>
      <w:r>
        <w:rPr>
          <w:rFonts w:hint="eastAsia" w:ascii="宋体" w:hAnsi="宋体"/>
          <w:sz w:val="32"/>
          <w:szCs w:val="32"/>
        </w:rPr>
        <w:t>与回应</w:t>
      </w:r>
      <w:bookmarkEnd w:id="34"/>
      <w:bookmarkEnd w:id="35"/>
    </w:p>
    <w:p w14:paraId="5541524A">
      <w:pPr>
        <w:spacing w:line="300" w:lineRule="auto"/>
        <w:ind w:firstLine="480" w:firstLineChars="200"/>
        <w:rPr>
          <w:rFonts w:ascii="宋体" w:hAnsi="宋体"/>
          <w:sz w:val="24"/>
          <w:szCs w:val="24"/>
        </w:rPr>
      </w:pPr>
      <w:r>
        <w:rPr>
          <w:rFonts w:hint="eastAsia" w:ascii="宋体" w:hAnsi="宋体"/>
          <w:sz w:val="24"/>
          <w:szCs w:val="24"/>
        </w:rPr>
        <w:t>利益相关方的信任和支持是浙江三思永恒持续健康发展的基础。浙江三思永恒建立了多元化的利益相关方对话机制，主动与政府、员工、消费者、合作伙伴、环境、社会和公众等利益相关方群体开展多方沟通交流。详见表5：</w:t>
      </w:r>
    </w:p>
    <w:p w14:paraId="45FEBF11">
      <w:pPr>
        <w:widowControl/>
        <w:spacing w:line="300" w:lineRule="auto"/>
        <w:jc w:val="left"/>
        <w:rPr>
          <w:rFonts w:ascii="宋体" w:hAnsi="宋体"/>
          <w:b/>
          <w:szCs w:val="21"/>
        </w:rPr>
      </w:pPr>
      <w:r>
        <w:rPr>
          <w:rFonts w:hint="eastAsia" w:ascii="宋体" w:hAnsi="宋体"/>
          <w:b/>
          <w:szCs w:val="21"/>
        </w:rPr>
        <w:t>表5                       利益相关方期望要求和沟通回应</w:t>
      </w:r>
    </w:p>
    <w:tbl>
      <w:tblPr>
        <w:tblStyle w:val="17"/>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863"/>
        <w:gridCol w:w="4211"/>
      </w:tblGrid>
      <w:tr w14:paraId="4E7B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691" w:type="dxa"/>
            <w:shd w:val="clear" w:color="auto" w:fill="auto"/>
            <w:vAlign w:val="center"/>
          </w:tcPr>
          <w:p w14:paraId="58F4D560">
            <w:pPr>
              <w:widowControl/>
              <w:jc w:val="center"/>
              <w:rPr>
                <w:rFonts w:ascii="宋体" w:hAnsi="宋体"/>
                <w:b/>
                <w:szCs w:val="21"/>
              </w:rPr>
            </w:pPr>
            <w:r>
              <w:rPr>
                <w:rFonts w:hint="eastAsia" w:ascii="宋体" w:hAnsi="宋体"/>
                <w:b/>
                <w:szCs w:val="21"/>
              </w:rPr>
              <w:t>利益相关方</w:t>
            </w:r>
          </w:p>
        </w:tc>
        <w:tc>
          <w:tcPr>
            <w:tcW w:w="2863" w:type="dxa"/>
            <w:shd w:val="clear" w:color="auto" w:fill="auto"/>
            <w:vAlign w:val="center"/>
          </w:tcPr>
          <w:p w14:paraId="43AABAC9">
            <w:pPr>
              <w:widowControl/>
              <w:jc w:val="center"/>
              <w:rPr>
                <w:rFonts w:ascii="宋体" w:hAnsi="宋体"/>
                <w:b/>
                <w:szCs w:val="21"/>
              </w:rPr>
            </w:pPr>
            <w:r>
              <w:rPr>
                <w:rFonts w:hint="eastAsia" w:ascii="宋体" w:hAnsi="宋体"/>
                <w:b/>
                <w:szCs w:val="21"/>
              </w:rPr>
              <w:t>期望与要求</w:t>
            </w:r>
          </w:p>
        </w:tc>
        <w:tc>
          <w:tcPr>
            <w:tcW w:w="4211" w:type="dxa"/>
            <w:shd w:val="clear" w:color="auto" w:fill="auto"/>
            <w:vAlign w:val="center"/>
          </w:tcPr>
          <w:p w14:paraId="07CC94FA">
            <w:pPr>
              <w:widowControl/>
              <w:jc w:val="center"/>
              <w:rPr>
                <w:rFonts w:ascii="宋体" w:hAnsi="宋体"/>
                <w:b/>
                <w:szCs w:val="21"/>
              </w:rPr>
            </w:pPr>
            <w:r>
              <w:rPr>
                <w:rFonts w:hint="eastAsia" w:ascii="宋体" w:hAnsi="宋体"/>
                <w:b/>
                <w:szCs w:val="21"/>
              </w:rPr>
              <w:t>沟通回应方式</w:t>
            </w:r>
          </w:p>
        </w:tc>
      </w:tr>
      <w:tr w14:paraId="70D0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691" w:type="dxa"/>
            <w:vAlign w:val="center"/>
          </w:tcPr>
          <w:p w14:paraId="0537D6DA">
            <w:pPr>
              <w:widowControl/>
              <w:jc w:val="center"/>
              <w:rPr>
                <w:rFonts w:ascii="宋体" w:hAnsi="宋体"/>
                <w:sz w:val="18"/>
                <w:szCs w:val="18"/>
              </w:rPr>
            </w:pPr>
            <w:r>
              <w:rPr>
                <w:rFonts w:hint="eastAsia" w:ascii="宋体" w:hAnsi="宋体"/>
                <w:sz w:val="18"/>
                <w:szCs w:val="18"/>
              </w:rPr>
              <w:t>政府</w:t>
            </w:r>
          </w:p>
        </w:tc>
        <w:tc>
          <w:tcPr>
            <w:tcW w:w="2863" w:type="dxa"/>
            <w:vAlign w:val="center"/>
          </w:tcPr>
          <w:p w14:paraId="4A3A1D45">
            <w:pPr>
              <w:pStyle w:val="55"/>
              <w:widowControl/>
              <w:numPr>
                <w:ilvl w:val="0"/>
                <w:numId w:val="5"/>
              </w:numPr>
              <w:tabs>
                <w:tab w:val="left" w:pos="222"/>
              </w:tabs>
              <w:ind w:left="0" w:firstLine="0" w:firstLineChars="0"/>
              <w:jc w:val="left"/>
              <w:rPr>
                <w:rFonts w:ascii="宋体" w:hAnsi="宋体"/>
                <w:sz w:val="18"/>
                <w:szCs w:val="18"/>
              </w:rPr>
            </w:pPr>
            <w:r>
              <w:rPr>
                <w:rFonts w:hint="eastAsia" w:ascii="宋体" w:hAnsi="宋体"/>
                <w:sz w:val="18"/>
                <w:szCs w:val="18"/>
              </w:rPr>
              <w:t>遵纪守法；</w:t>
            </w:r>
          </w:p>
          <w:p w14:paraId="3281C31F">
            <w:pPr>
              <w:pStyle w:val="55"/>
              <w:widowControl/>
              <w:numPr>
                <w:ilvl w:val="0"/>
                <w:numId w:val="5"/>
              </w:numPr>
              <w:tabs>
                <w:tab w:val="left" w:pos="222"/>
              </w:tabs>
              <w:ind w:left="0" w:firstLine="0" w:firstLineChars="0"/>
              <w:jc w:val="left"/>
              <w:rPr>
                <w:rFonts w:ascii="宋体" w:hAnsi="宋体"/>
                <w:sz w:val="18"/>
                <w:szCs w:val="18"/>
              </w:rPr>
            </w:pPr>
            <w:r>
              <w:rPr>
                <w:rFonts w:hint="eastAsia" w:ascii="宋体" w:hAnsi="宋体"/>
                <w:sz w:val="18"/>
                <w:szCs w:val="18"/>
              </w:rPr>
              <w:t>依法纳税；</w:t>
            </w:r>
          </w:p>
          <w:p w14:paraId="37275B0C">
            <w:pPr>
              <w:pStyle w:val="55"/>
              <w:widowControl/>
              <w:numPr>
                <w:ilvl w:val="0"/>
                <w:numId w:val="5"/>
              </w:numPr>
              <w:tabs>
                <w:tab w:val="left" w:pos="222"/>
              </w:tabs>
              <w:ind w:left="0" w:firstLine="0" w:firstLineChars="0"/>
              <w:jc w:val="left"/>
              <w:rPr>
                <w:rFonts w:ascii="宋体" w:hAnsi="宋体"/>
                <w:sz w:val="18"/>
                <w:szCs w:val="18"/>
              </w:rPr>
            </w:pPr>
            <w:r>
              <w:rPr>
                <w:rFonts w:hint="eastAsia" w:ascii="宋体" w:hAnsi="宋体"/>
                <w:sz w:val="18"/>
                <w:szCs w:val="18"/>
              </w:rPr>
              <w:t>支持经济发展。</w:t>
            </w:r>
          </w:p>
        </w:tc>
        <w:tc>
          <w:tcPr>
            <w:tcW w:w="4211" w:type="dxa"/>
            <w:vAlign w:val="center"/>
          </w:tcPr>
          <w:p w14:paraId="7BDCAC94">
            <w:pPr>
              <w:pStyle w:val="55"/>
              <w:widowControl/>
              <w:numPr>
                <w:ilvl w:val="0"/>
                <w:numId w:val="6"/>
              </w:numPr>
              <w:tabs>
                <w:tab w:val="left" w:pos="194"/>
              </w:tabs>
              <w:ind w:left="0" w:firstLine="0" w:firstLineChars="0"/>
              <w:jc w:val="left"/>
              <w:rPr>
                <w:rFonts w:ascii="宋体" w:hAnsi="宋体"/>
                <w:sz w:val="18"/>
                <w:szCs w:val="18"/>
              </w:rPr>
            </w:pPr>
            <w:r>
              <w:rPr>
                <w:rFonts w:hint="eastAsia" w:ascii="宋体" w:hAnsi="宋体"/>
                <w:sz w:val="18"/>
                <w:szCs w:val="18"/>
              </w:rPr>
              <w:t>合规合法管理；</w:t>
            </w:r>
          </w:p>
          <w:p w14:paraId="5BD5A612">
            <w:pPr>
              <w:pStyle w:val="55"/>
              <w:widowControl/>
              <w:numPr>
                <w:ilvl w:val="0"/>
                <w:numId w:val="6"/>
              </w:numPr>
              <w:tabs>
                <w:tab w:val="left" w:pos="194"/>
              </w:tabs>
              <w:ind w:left="0" w:firstLine="0" w:firstLineChars="0"/>
              <w:jc w:val="left"/>
              <w:rPr>
                <w:rFonts w:ascii="宋体" w:hAnsi="宋体"/>
                <w:sz w:val="18"/>
                <w:szCs w:val="18"/>
              </w:rPr>
            </w:pPr>
            <w:r>
              <w:rPr>
                <w:rFonts w:hint="eastAsia" w:ascii="宋体" w:hAnsi="宋体"/>
                <w:sz w:val="18"/>
                <w:szCs w:val="18"/>
              </w:rPr>
              <w:t>主动纳税；</w:t>
            </w:r>
          </w:p>
          <w:p w14:paraId="2E50E791">
            <w:pPr>
              <w:pStyle w:val="55"/>
              <w:widowControl/>
              <w:numPr>
                <w:ilvl w:val="0"/>
                <w:numId w:val="6"/>
              </w:numPr>
              <w:tabs>
                <w:tab w:val="left" w:pos="194"/>
              </w:tabs>
              <w:ind w:left="0" w:firstLine="0" w:firstLineChars="0"/>
              <w:jc w:val="left"/>
              <w:rPr>
                <w:rFonts w:ascii="宋体" w:hAnsi="宋体"/>
                <w:sz w:val="18"/>
                <w:szCs w:val="18"/>
              </w:rPr>
            </w:pPr>
            <w:r>
              <w:rPr>
                <w:rFonts w:hint="eastAsia" w:ascii="宋体" w:hAnsi="宋体"/>
                <w:sz w:val="18"/>
                <w:szCs w:val="18"/>
              </w:rPr>
              <w:t>执行国家政策。</w:t>
            </w:r>
          </w:p>
        </w:tc>
      </w:tr>
      <w:tr w14:paraId="410F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8516CCB">
            <w:pPr>
              <w:widowControl/>
              <w:jc w:val="center"/>
              <w:rPr>
                <w:rFonts w:ascii="宋体" w:hAnsi="宋体"/>
                <w:sz w:val="18"/>
                <w:szCs w:val="18"/>
              </w:rPr>
            </w:pPr>
            <w:r>
              <w:rPr>
                <w:rFonts w:hint="eastAsia" w:ascii="宋体" w:hAnsi="宋体"/>
                <w:sz w:val="18"/>
                <w:szCs w:val="18"/>
              </w:rPr>
              <w:t>员工</w:t>
            </w:r>
          </w:p>
        </w:tc>
        <w:tc>
          <w:tcPr>
            <w:tcW w:w="2863" w:type="dxa"/>
            <w:vAlign w:val="center"/>
          </w:tcPr>
          <w:p w14:paraId="36C76B42">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有较好的薪酬福利保障；</w:t>
            </w:r>
          </w:p>
          <w:p w14:paraId="1B6A8FB5">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健康和安全；</w:t>
            </w:r>
          </w:p>
          <w:p w14:paraId="6217C63A">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畅顺沟通；</w:t>
            </w:r>
          </w:p>
          <w:p w14:paraId="451C971B">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公平晋升和发展机会；</w:t>
            </w:r>
          </w:p>
          <w:p w14:paraId="74DDC032">
            <w:pPr>
              <w:pStyle w:val="55"/>
              <w:widowControl/>
              <w:numPr>
                <w:ilvl w:val="0"/>
                <w:numId w:val="7"/>
              </w:numPr>
              <w:tabs>
                <w:tab w:val="left" w:pos="222"/>
              </w:tabs>
              <w:ind w:left="0" w:firstLine="0" w:firstLineChars="0"/>
              <w:jc w:val="left"/>
              <w:rPr>
                <w:rFonts w:ascii="宋体" w:hAnsi="宋体"/>
                <w:sz w:val="18"/>
                <w:szCs w:val="18"/>
              </w:rPr>
            </w:pPr>
            <w:r>
              <w:rPr>
                <w:rFonts w:hint="eastAsia" w:ascii="宋体" w:hAnsi="宋体"/>
                <w:sz w:val="18"/>
                <w:szCs w:val="18"/>
              </w:rPr>
              <w:t>良好工作环境。</w:t>
            </w:r>
          </w:p>
        </w:tc>
        <w:tc>
          <w:tcPr>
            <w:tcW w:w="4211" w:type="dxa"/>
            <w:vAlign w:val="center"/>
          </w:tcPr>
          <w:p w14:paraId="7A2332C0">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及时足额发放工资、缴纳社保、发放节日福利；</w:t>
            </w:r>
          </w:p>
          <w:p w14:paraId="335EE1DE">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建立职业健康安全管理体系；</w:t>
            </w:r>
          </w:p>
          <w:p w14:paraId="5A0BCDB3">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畅通沟通渠道；</w:t>
            </w:r>
          </w:p>
          <w:p w14:paraId="11DF33E2">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职业发展通道、员工培训；</w:t>
            </w:r>
          </w:p>
          <w:p w14:paraId="3AD60F23">
            <w:pPr>
              <w:pStyle w:val="55"/>
              <w:widowControl/>
              <w:numPr>
                <w:ilvl w:val="0"/>
                <w:numId w:val="8"/>
              </w:numPr>
              <w:tabs>
                <w:tab w:val="left" w:pos="246"/>
              </w:tabs>
              <w:ind w:left="0" w:firstLine="0" w:firstLineChars="0"/>
              <w:jc w:val="left"/>
              <w:rPr>
                <w:rFonts w:ascii="宋体" w:hAnsi="宋体"/>
                <w:sz w:val="18"/>
                <w:szCs w:val="18"/>
              </w:rPr>
            </w:pPr>
            <w:r>
              <w:rPr>
                <w:rFonts w:hint="eastAsia" w:ascii="宋体" w:hAnsi="宋体"/>
                <w:sz w:val="18"/>
                <w:szCs w:val="18"/>
              </w:rPr>
              <w:t>创建良好的工作环境。</w:t>
            </w:r>
          </w:p>
        </w:tc>
      </w:tr>
      <w:tr w14:paraId="5273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BD6FEDB">
            <w:pPr>
              <w:widowControl/>
              <w:jc w:val="center"/>
              <w:rPr>
                <w:rFonts w:ascii="宋体" w:hAnsi="宋体"/>
                <w:sz w:val="18"/>
                <w:szCs w:val="18"/>
              </w:rPr>
            </w:pPr>
            <w:r>
              <w:rPr>
                <w:rFonts w:hint="eastAsia" w:ascii="宋体" w:hAnsi="宋体"/>
                <w:sz w:val="18"/>
                <w:szCs w:val="18"/>
              </w:rPr>
              <w:t>顾客</w:t>
            </w:r>
          </w:p>
        </w:tc>
        <w:tc>
          <w:tcPr>
            <w:tcW w:w="2863" w:type="dxa"/>
            <w:vAlign w:val="center"/>
          </w:tcPr>
          <w:p w14:paraId="51FBDCF1">
            <w:pPr>
              <w:pStyle w:val="55"/>
              <w:widowControl/>
              <w:numPr>
                <w:ilvl w:val="0"/>
                <w:numId w:val="9"/>
              </w:numPr>
              <w:tabs>
                <w:tab w:val="left" w:pos="204"/>
              </w:tabs>
              <w:ind w:left="0" w:firstLine="0" w:firstLineChars="0"/>
              <w:jc w:val="left"/>
              <w:rPr>
                <w:rFonts w:ascii="宋体" w:hAnsi="宋体"/>
                <w:sz w:val="18"/>
                <w:szCs w:val="18"/>
              </w:rPr>
            </w:pPr>
            <w:r>
              <w:rPr>
                <w:rFonts w:hint="eastAsia" w:ascii="宋体" w:hAnsi="宋体"/>
                <w:sz w:val="18"/>
                <w:szCs w:val="18"/>
              </w:rPr>
              <w:t>高品质的产品质量；</w:t>
            </w:r>
          </w:p>
          <w:p w14:paraId="4657EB08">
            <w:pPr>
              <w:pStyle w:val="55"/>
              <w:widowControl/>
              <w:numPr>
                <w:ilvl w:val="0"/>
                <w:numId w:val="9"/>
              </w:numPr>
              <w:tabs>
                <w:tab w:val="left" w:pos="204"/>
              </w:tabs>
              <w:ind w:left="0" w:firstLine="0" w:firstLineChars="0"/>
              <w:jc w:val="left"/>
              <w:rPr>
                <w:rFonts w:ascii="宋体" w:hAnsi="宋体"/>
                <w:sz w:val="18"/>
                <w:szCs w:val="18"/>
              </w:rPr>
            </w:pPr>
            <w:r>
              <w:rPr>
                <w:rFonts w:hint="eastAsia" w:ascii="宋体" w:hAnsi="宋体"/>
                <w:sz w:val="18"/>
                <w:szCs w:val="18"/>
              </w:rPr>
              <w:t>合理的价格；</w:t>
            </w:r>
          </w:p>
          <w:p w14:paraId="35E077CF">
            <w:pPr>
              <w:pStyle w:val="55"/>
              <w:widowControl/>
              <w:numPr>
                <w:ilvl w:val="0"/>
                <w:numId w:val="9"/>
              </w:numPr>
              <w:tabs>
                <w:tab w:val="left" w:pos="204"/>
              </w:tabs>
              <w:ind w:left="0" w:firstLine="0" w:firstLineChars="0"/>
              <w:jc w:val="left"/>
              <w:rPr>
                <w:rFonts w:ascii="宋体" w:hAnsi="宋体"/>
                <w:sz w:val="18"/>
                <w:szCs w:val="18"/>
              </w:rPr>
            </w:pPr>
            <w:r>
              <w:rPr>
                <w:rFonts w:hint="eastAsia" w:ascii="宋体" w:hAnsi="宋体"/>
                <w:sz w:val="18"/>
                <w:szCs w:val="18"/>
              </w:rPr>
              <w:t>优质的服务。</w:t>
            </w:r>
          </w:p>
        </w:tc>
        <w:tc>
          <w:tcPr>
            <w:tcW w:w="4211" w:type="dxa"/>
            <w:vAlign w:val="center"/>
          </w:tcPr>
          <w:p w14:paraId="7F611B3C">
            <w:pPr>
              <w:pStyle w:val="55"/>
              <w:widowControl/>
              <w:numPr>
                <w:ilvl w:val="0"/>
                <w:numId w:val="10"/>
              </w:numPr>
              <w:tabs>
                <w:tab w:val="left" w:pos="286"/>
              </w:tabs>
              <w:ind w:left="0" w:firstLine="0" w:firstLineChars="0"/>
              <w:jc w:val="left"/>
              <w:rPr>
                <w:rFonts w:ascii="宋体" w:hAnsi="宋体"/>
                <w:sz w:val="18"/>
                <w:szCs w:val="18"/>
              </w:rPr>
            </w:pPr>
            <w:r>
              <w:rPr>
                <w:rFonts w:hint="eastAsia" w:ascii="宋体" w:hAnsi="宋体"/>
                <w:sz w:val="18"/>
                <w:szCs w:val="18"/>
              </w:rPr>
              <w:t>合法的商务合同；</w:t>
            </w:r>
          </w:p>
          <w:p w14:paraId="4B5EC13C">
            <w:pPr>
              <w:pStyle w:val="55"/>
              <w:widowControl/>
              <w:numPr>
                <w:ilvl w:val="0"/>
                <w:numId w:val="10"/>
              </w:numPr>
              <w:tabs>
                <w:tab w:val="left" w:pos="286"/>
              </w:tabs>
              <w:ind w:left="0" w:firstLine="0" w:firstLineChars="0"/>
              <w:jc w:val="left"/>
              <w:rPr>
                <w:rFonts w:ascii="宋体" w:hAnsi="宋体"/>
                <w:sz w:val="18"/>
                <w:szCs w:val="18"/>
              </w:rPr>
            </w:pPr>
            <w:r>
              <w:rPr>
                <w:rFonts w:hint="eastAsia" w:ascii="宋体" w:hAnsi="宋体"/>
                <w:sz w:val="18"/>
                <w:szCs w:val="18"/>
              </w:rPr>
              <w:t>不定期的顾客回访；</w:t>
            </w:r>
          </w:p>
          <w:p w14:paraId="0D27FF21">
            <w:pPr>
              <w:pStyle w:val="55"/>
              <w:widowControl/>
              <w:numPr>
                <w:ilvl w:val="0"/>
                <w:numId w:val="10"/>
              </w:numPr>
              <w:tabs>
                <w:tab w:val="left" w:pos="286"/>
              </w:tabs>
              <w:ind w:left="0" w:firstLine="0" w:firstLineChars="0"/>
              <w:jc w:val="left"/>
              <w:rPr>
                <w:rFonts w:ascii="宋体" w:hAnsi="宋体"/>
                <w:sz w:val="18"/>
                <w:szCs w:val="18"/>
              </w:rPr>
            </w:pPr>
            <w:r>
              <w:rPr>
                <w:rFonts w:hint="eastAsia" w:ascii="宋体" w:hAnsi="宋体"/>
                <w:sz w:val="18"/>
                <w:szCs w:val="18"/>
              </w:rPr>
              <w:t>顾客满意度调查。</w:t>
            </w:r>
          </w:p>
        </w:tc>
      </w:tr>
      <w:tr w14:paraId="651A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691" w:type="dxa"/>
            <w:vAlign w:val="center"/>
          </w:tcPr>
          <w:p w14:paraId="2CEEE08C">
            <w:pPr>
              <w:widowControl/>
              <w:jc w:val="center"/>
              <w:rPr>
                <w:rFonts w:ascii="宋体" w:hAnsi="宋体"/>
                <w:sz w:val="18"/>
                <w:szCs w:val="18"/>
              </w:rPr>
            </w:pPr>
            <w:r>
              <w:rPr>
                <w:rFonts w:hint="eastAsia" w:ascii="宋体" w:hAnsi="宋体"/>
                <w:sz w:val="18"/>
                <w:szCs w:val="18"/>
              </w:rPr>
              <w:t>合作伙伴</w:t>
            </w:r>
          </w:p>
        </w:tc>
        <w:tc>
          <w:tcPr>
            <w:tcW w:w="2863" w:type="dxa"/>
            <w:vAlign w:val="center"/>
          </w:tcPr>
          <w:p w14:paraId="6329372B">
            <w:pPr>
              <w:pStyle w:val="55"/>
              <w:widowControl/>
              <w:numPr>
                <w:ilvl w:val="0"/>
                <w:numId w:val="11"/>
              </w:numPr>
              <w:tabs>
                <w:tab w:val="left" w:pos="222"/>
              </w:tabs>
              <w:ind w:left="0" w:firstLine="0" w:firstLineChars="0"/>
              <w:jc w:val="left"/>
              <w:rPr>
                <w:rFonts w:ascii="宋体" w:hAnsi="宋体"/>
                <w:sz w:val="18"/>
                <w:szCs w:val="18"/>
              </w:rPr>
            </w:pPr>
            <w:r>
              <w:rPr>
                <w:rFonts w:hint="eastAsia" w:ascii="宋体" w:hAnsi="宋体"/>
                <w:sz w:val="18"/>
                <w:szCs w:val="18"/>
              </w:rPr>
              <w:t>信守承诺；</w:t>
            </w:r>
          </w:p>
          <w:p w14:paraId="3F36646F">
            <w:pPr>
              <w:pStyle w:val="55"/>
              <w:widowControl/>
              <w:numPr>
                <w:ilvl w:val="0"/>
                <w:numId w:val="11"/>
              </w:numPr>
              <w:tabs>
                <w:tab w:val="left" w:pos="222"/>
              </w:tabs>
              <w:ind w:left="0" w:firstLine="0" w:firstLineChars="0"/>
              <w:jc w:val="left"/>
              <w:rPr>
                <w:rFonts w:ascii="宋体" w:hAnsi="宋体"/>
                <w:sz w:val="18"/>
                <w:szCs w:val="18"/>
              </w:rPr>
            </w:pPr>
            <w:r>
              <w:rPr>
                <w:rFonts w:hint="eastAsia" w:ascii="宋体" w:hAnsi="宋体"/>
                <w:sz w:val="18"/>
                <w:szCs w:val="18"/>
              </w:rPr>
              <w:t>回报与增长、公司治理；</w:t>
            </w:r>
          </w:p>
          <w:p w14:paraId="24B7BAD0">
            <w:pPr>
              <w:pStyle w:val="55"/>
              <w:widowControl/>
              <w:numPr>
                <w:ilvl w:val="0"/>
                <w:numId w:val="11"/>
              </w:numPr>
              <w:tabs>
                <w:tab w:val="left" w:pos="222"/>
              </w:tabs>
              <w:ind w:left="0" w:firstLine="0" w:firstLineChars="0"/>
              <w:jc w:val="left"/>
              <w:rPr>
                <w:rFonts w:ascii="宋体" w:hAnsi="宋体"/>
                <w:sz w:val="18"/>
                <w:szCs w:val="18"/>
              </w:rPr>
            </w:pPr>
            <w:r>
              <w:rPr>
                <w:rFonts w:hint="eastAsia" w:ascii="宋体" w:hAnsi="宋体"/>
                <w:sz w:val="18"/>
                <w:szCs w:val="18"/>
              </w:rPr>
              <w:t>控制风险、经验分享。</w:t>
            </w:r>
          </w:p>
        </w:tc>
        <w:tc>
          <w:tcPr>
            <w:tcW w:w="4211" w:type="dxa"/>
            <w:vAlign w:val="center"/>
          </w:tcPr>
          <w:p w14:paraId="378671CA">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依法履行合同；</w:t>
            </w:r>
          </w:p>
          <w:p w14:paraId="3BC81D03">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销售总结大会、报告与通报；</w:t>
            </w:r>
          </w:p>
          <w:p w14:paraId="070DD2A3">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持续增长，保证回报；</w:t>
            </w:r>
          </w:p>
          <w:p w14:paraId="385662D3">
            <w:pPr>
              <w:pStyle w:val="55"/>
              <w:widowControl/>
              <w:numPr>
                <w:ilvl w:val="0"/>
                <w:numId w:val="12"/>
              </w:numPr>
              <w:tabs>
                <w:tab w:val="left" w:pos="246"/>
              </w:tabs>
              <w:ind w:left="0" w:firstLine="0" w:firstLineChars="0"/>
              <w:jc w:val="left"/>
              <w:rPr>
                <w:rFonts w:ascii="宋体" w:hAnsi="宋体"/>
                <w:sz w:val="18"/>
                <w:szCs w:val="18"/>
              </w:rPr>
            </w:pPr>
            <w:r>
              <w:rPr>
                <w:rFonts w:hint="eastAsia" w:ascii="宋体" w:hAnsi="宋体"/>
                <w:sz w:val="18"/>
                <w:szCs w:val="18"/>
              </w:rPr>
              <w:t>带动行业健康发展。</w:t>
            </w:r>
          </w:p>
        </w:tc>
      </w:tr>
      <w:tr w14:paraId="3D1E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691" w:type="dxa"/>
            <w:vAlign w:val="center"/>
          </w:tcPr>
          <w:p w14:paraId="32A09054">
            <w:pPr>
              <w:widowControl/>
              <w:jc w:val="center"/>
              <w:rPr>
                <w:rFonts w:ascii="宋体" w:hAnsi="宋体"/>
                <w:sz w:val="18"/>
                <w:szCs w:val="18"/>
              </w:rPr>
            </w:pPr>
            <w:r>
              <w:rPr>
                <w:rFonts w:hint="eastAsia" w:ascii="宋体" w:hAnsi="宋体"/>
                <w:sz w:val="18"/>
                <w:szCs w:val="18"/>
              </w:rPr>
              <w:t>环境</w:t>
            </w:r>
          </w:p>
        </w:tc>
        <w:tc>
          <w:tcPr>
            <w:tcW w:w="2863" w:type="dxa"/>
            <w:vAlign w:val="center"/>
          </w:tcPr>
          <w:p w14:paraId="54CDB3C4">
            <w:pPr>
              <w:pStyle w:val="55"/>
              <w:widowControl/>
              <w:numPr>
                <w:ilvl w:val="0"/>
                <w:numId w:val="13"/>
              </w:numPr>
              <w:tabs>
                <w:tab w:val="left" w:pos="204"/>
              </w:tabs>
              <w:ind w:left="0" w:firstLine="0" w:firstLineChars="0"/>
              <w:jc w:val="left"/>
              <w:rPr>
                <w:rFonts w:ascii="宋体" w:hAnsi="宋体"/>
                <w:sz w:val="18"/>
                <w:szCs w:val="18"/>
              </w:rPr>
            </w:pPr>
            <w:r>
              <w:rPr>
                <w:rFonts w:hint="eastAsia" w:ascii="宋体" w:hAnsi="宋体"/>
                <w:sz w:val="18"/>
                <w:szCs w:val="18"/>
              </w:rPr>
              <w:t>节能减排；</w:t>
            </w:r>
          </w:p>
          <w:p w14:paraId="72764A74">
            <w:pPr>
              <w:pStyle w:val="55"/>
              <w:widowControl/>
              <w:numPr>
                <w:ilvl w:val="0"/>
                <w:numId w:val="13"/>
              </w:numPr>
              <w:tabs>
                <w:tab w:val="left" w:pos="204"/>
              </w:tabs>
              <w:ind w:left="0" w:firstLine="0" w:firstLineChars="0"/>
              <w:jc w:val="left"/>
              <w:rPr>
                <w:rFonts w:ascii="宋体" w:hAnsi="宋体"/>
                <w:sz w:val="18"/>
                <w:szCs w:val="18"/>
              </w:rPr>
            </w:pPr>
            <w:r>
              <w:rPr>
                <w:rFonts w:hint="eastAsia" w:ascii="宋体" w:hAnsi="宋体"/>
                <w:sz w:val="18"/>
                <w:szCs w:val="18"/>
              </w:rPr>
              <w:t>应对气候变化；</w:t>
            </w:r>
          </w:p>
          <w:p w14:paraId="3F1345B1">
            <w:pPr>
              <w:pStyle w:val="55"/>
              <w:widowControl/>
              <w:numPr>
                <w:ilvl w:val="0"/>
                <w:numId w:val="13"/>
              </w:numPr>
              <w:tabs>
                <w:tab w:val="left" w:pos="204"/>
              </w:tabs>
              <w:ind w:left="0" w:firstLine="0" w:firstLineChars="0"/>
              <w:jc w:val="left"/>
              <w:rPr>
                <w:rFonts w:ascii="宋体" w:hAnsi="宋体"/>
                <w:sz w:val="18"/>
                <w:szCs w:val="18"/>
              </w:rPr>
            </w:pPr>
            <w:r>
              <w:rPr>
                <w:rFonts w:hint="eastAsia" w:ascii="宋体" w:hAnsi="宋体"/>
                <w:sz w:val="18"/>
                <w:szCs w:val="18"/>
              </w:rPr>
              <w:t>保护生态。</w:t>
            </w:r>
          </w:p>
        </w:tc>
        <w:tc>
          <w:tcPr>
            <w:tcW w:w="4211" w:type="dxa"/>
            <w:vAlign w:val="center"/>
          </w:tcPr>
          <w:p w14:paraId="61657363">
            <w:pPr>
              <w:pStyle w:val="55"/>
              <w:widowControl/>
              <w:numPr>
                <w:ilvl w:val="0"/>
                <w:numId w:val="14"/>
              </w:numPr>
              <w:tabs>
                <w:tab w:val="left" w:pos="264"/>
              </w:tabs>
              <w:ind w:firstLineChars="0"/>
              <w:jc w:val="left"/>
              <w:rPr>
                <w:rFonts w:ascii="宋体" w:hAnsi="宋体"/>
                <w:sz w:val="18"/>
                <w:szCs w:val="18"/>
              </w:rPr>
            </w:pPr>
            <w:r>
              <w:rPr>
                <w:rFonts w:hint="eastAsia" w:ascii="宋体" w:hAnsi="宋体"/>
                <w:sz w:val="18"/>
                <w:szCs w:val="18"/>
              </w:rPr>
              <w:t>绿色生产；</w:t>
            </w:r>
          </w:p>
          <w:p w14:paraId="0C087FE0">
            <w:pPr>
              <w:pStyle w:val="55"/>
              <w:widowControl/>
              <w:numPr>
                <w:ilvl w:val="0"/>
                <w:numId w:val="14"/>
              </w:numPr>
              <w:tabs>
                <w:tab w:val="left" w:pos="264"/>
              </w:tabs>
              <w:ind w:firstLineChars="0"/>
              <w:jc w:val="left"/>
              <w:rPr>
                <w:rFonts w:ascii="宋体" w:hAnsi="宋体"/>
                <w:sz w:val="18"/>
                <w:szCs w:val="18"/>
              </w:rPr>
            </w:pPr>
            <w:r>
              <w:rPr>
                <w:rFonts w:hint="eastAsia" w:ascii="宋体" w:hAnsi="宋体"/>
                <w:sz w:val="18"/>
                <w:szCs w:val="18"/>
              </w:rPr>
              <w:t>节能减排。</w:t>
            </w:r>
          </w:p>
        </w:tc>
      </w:tr>
      <w:tr w14:paraId="7795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691" w:type="dxa"/>
            <w:vAlign w:val="center"/>
          </w:tcPr>
          <w:p w14:paraId="5129F763">
            <w:pPr>
              <w:widowControl/>
              <w:jc w:val="center"/>
              <w:rPr>
                <w:rFonts w:ascii="宋体" w:hAnsi="宋体"/>
                <w:sz w:val="18"/>
                <w:szCs w:val="18"/>
              </w:rPr>
            </w:pPr>
            <w:r>
              <w:rPr>
                <w:rFonts w:hint="eastAsia" w:ascii="宋体" w:hAnsi="宋体"/>
                <w:sz w:val="18"/>
                <w:szCs w:val="18"/>
              </w:rPr>
              <w:t>社会和公众</w:t>
            </w:r>
          </w:p>
        </w:tc>
        <w:tc>
          <w:tcPr>
            <w:tcW w:w="2863" w:type="dxa"/>
            <w:vAlign w:val="center"/>
          </w:tcPr>
          <w:p w14:paraId="52046628">
            <w:pPr>
              <w:pStyle w:val="55"/>
              <w:widowControl/>
              <w:numPr>
                <w:ilvl w:val="0"/>
                <w:numId w:val="15"/>
              </w:numPr>
              <w:tabs>
                <w:tab w:val="left" w:pos="258"/>
              </w:tabs>
              <w:ind w:left="0" w:firstLine="0" w:firstLineChars="0"/>
              <w:jc w:val="left"/>
              <w:rPr>
                <w:rFonts w:ascii="宋体" w:hAnsi="宋体"/>
                <w:sz w:val="18"/>
                <w:szCs w:val="18"/>
              </w:rPr>
            </w:pPr>
            <w:r>
              <w:rPr>
                <w:rFonts w:hint="eastAsia" w:ascii="宋体" w:hAnsi="宋体"/>
                <w:sz w:val="18"/>
                <w:szCs w:val="18"/>
              </w:rPr>
              <w:t>支持社会发展；</w:t>
            </w:r>
          </w:p>
          <w:p w14:paraId="0DCFFA88">
            <w:pPr>
              <w:pStyle w:val="55"/>
              <w:widowControl/>
              <w:numPr>
                <w:ilvl w:val="0"/>
                <w:numId w:val="15"/>
              </w:numPr>
              <w:tabs>
                <w:tab w:val="left" w:pos="258"/>
              </w:tabs>
              <w:ind w:left="0" w:firstLine="0" w:firstLineChars="0"/>
              <w:jc w:val="left"/>
              <w:rPr>
                <w:rFonts w:ascii="宋体" w:hAnsi="宋体"/>
                <w:sz w:val="18"/>
                <w:szCs w:val="18"/>
              </w:rPr>
            </w:pPr>
            <w:r>
              <w:rPr>
                <w:rFonts w:hint="eastAsia" w:ascii="宋体" w:hAnsi="宋体"/>
                <w:sz w:val="18"/>
                <w:szCs w:val="18"/>
              </w:rPr>
              <w:t>关注弱势群体；</w:t>
            </w:r>
          </w:p>
          <w:p w14:paraId="7ECAD964">
            <w:pPr>
              <w:pStyle w:val="55"/>
              <w:widowControl/>
              <w:numPr>
                <w:ilvl w:val="0"/>
                <w:numId w:val="15"/>
              </w:numPr>
              <w:tabs>
                <w:tab w:val="left" w:pos="258"/>
              </w:tabs>
              <w:ind w:left="0" w:firstLine="0" w:firstLineChars="0"/>
              <w:jc w:val="left"/>
              <w:rPr>
                <w:rFonts w:ascii="宋体" w:hAnsi="宋体"/>
                <w:sz w:val="18"/>
                <w:szCs w:val="18"/>
              </w:rPr>
            </w:pPr>
            <w:r>
              <w:rPr>
                <w:rFonts w:hint="eastAsia" w:ascii="宋体" w:hAnsi="宋体"/>
                <w:sz w:val="18"/>
                <w:szCs w:val="18"/>
              </w:rPr>
              <w:t>扶贫济困。</w:t>
            </w:r>
          </w:p>
        </w:tc>
        <w:tc>
          <w:tcPr>
            <w:tcW w:w="4211" w:type="dxa"/>
            <w:vAlign w:val="center"/>
          </w:tcPr>
          <w:p w14:paraId="4702D50D">
            <w:pPr>
              <w:pStyle w:val="55"/>
              <w:widowControl/>
              <w:numPr>
                <w:ilvl w:val="0"/>
                <w:numId w:val="16"/>
              </w:numPr>
              <w:tabs>
                <w:tab w:val="left" w:pos="246"/>
              </w:tabs>
              <w:ind w:left="0" w:firstLine="0" w:firstLineChars="0"/>
              <w:jc w:val="left"/>
              <w:rPr>
                <w:rFonts w:ascii="宋体" w:hAnsi="宋体"/>
                <w:sz w:val="18"/>
                <w:szCs w:val="18"/>
              </w:rPr>
            </w:pPr>
            <w:r>
              <w:rPr>
                <w:rFonts w:hint="eastAsia" w:ascii="宋体" w:hAnsi="宋体"/>
                <w:sz w:val="18"/>
                <w:szCs w:val="18"/>
              </w:rPr>
              <w:t>公益慈善事业；</w:t>
            </w:r>
          </w:p>
          <w:p w14:paraId="52B43A26">
            <w:pPr>
              <w:pStyle w:val="55"/>
              <w:widowControl/>
              <w:numPr>
                <w:ilvl w:val="0"/>
                <w:numId w:val="16"/>
              </w:numPr>
              <w:tabs>
                <w:tab w:val="left" w:pos="246"/>
              </w:tabs>
              <w:ind w:left="0" w:firstLine="0" w:firstLineChars="0"/>
              <w:jc w:val="left"/>
              <w:rPr>
                <w:rFonts w:ascii="宋体" w:hAnsi="宋体"/>
                <w:sz w:val="18"/>
                <w:szCs w:val="18"/>
              </w:rPr>
            </w:pPr>
            <w:r>
              <w:rPr>
                <w:rFonts w:hint="eastAsia" w:ascii="宋体" w:hAnsi="宋体"/>
                <w:sz w:val="18"/>
                <w:szCs w:val="18"/>
              </w:rPr>
              <w:t>志愿者服务；</w:t>
            </w:r>
          </w:p>
          <w:p w14:paraId="6727A941">
            <w:pPr>
              <w:pStyle w:val="55"/>
              <w:widowControl/>
              <w:numPr>
                <w:ilvl w:val="0"/>
                <w:numId w:val="16"/>
              </w:numPr>
              <w:tabs>
                <w:tab w:val="left" w:pos="246"/>
              </w:tabs>
              <w:ind w:left="0" w:firstLine="0" w:firstLineChars="0"/>
              <w:jc w:val="left"/>
              <w:rPr>
                <w:rFonts w:ascii="宋体" w:hAnsi="宋体"/>
                <w:sz w:val="18"/>
                <w:szCs w:val="18"/>
              </w:rPr>
            </w:pPr>
            <w:r>
              <w:rPr>
                <w:rFonts w:hint="eastAsia" w:ascii="宋体" w:hAnsi="宋体"/>
                <w:sz w:val="18"/>
                <w:szCs w:val="18"/>
              </w:rPr>
              <w:t>健康文化。</w:t>
            </w:r>
          </w:p>
        </w:tc>
      </w:tr>
    </w:tbl>
    <w:p w14:paraId="2F0F417B">
      <w:pPr>
        <w:pStyle w:val="2"/>
        <w:numPr>
          <w:ilvl w:val="0"/>
          <w:numId w:val="1"/>
        </w:numPr>
        <w:tabs>
          <w:tab w:val="left" w:pos="567"/>
        </w:tabs>
        <w:spacing w:before="0" w:after="0" w:line="300" w:lineRule="auto"/>
        <w:ind w:left="0" w:firstLine="0"/>
        <w:jc w:val="left"/>
        <w:rPr>
          <w:rFonts w:ascii="宋体" w:hAnsi="宋体"/>
          <w:sz w:val="32"/>
          <w:szCs w:val="32"/>
        </w:rPr>
      </w:pPr>
      <w:bookmarkStart w:id="36" w:name="_Toc8221285"/>
      <w:bookmarkStart w:id="37" w:name="_Toc47951669"/>
      <w:r>
        <w:rPr>
          <w:rFonts w:hint="eastAsia" w:ascii="宋体" w:hAnsi="宋体"/>
          <w:sz w:val="32"/>
          <w:szCs w:val="32"/>
        </w:rPr>
        <w:t>股东及其他相关方利益的保护</w:t>
      </w:r>
      <w:bookmarkEnd w:id="36"/>
      <w:bookmarkEnd w:id="37"/>
    </w:p>
    <w:p w14:paraId="774FC740">
      <w:pPr>
        <w:pStyle w:val="3"/>
        <w:numPr>
          <w:ilvl w:val="0"/>
          <w:numId w:val="17"/>
        </w:numPr>
        <w:spacing w:before="0" w:after="0" w:line="300" w:lineRule="auto"/>
        <w:ind w:left="0" w:firstLine="0"/>
        <w:rPr>
          <w:sz w:val="28"/>
          <w:szCs w:val="28"/>
        </w:rPr>
      </w:pPr>
      <w:bookmarkStart w:id="38" w:name="_Toc47951670"/>
      <w:r>
        <w:rPr>
          <w:rFonts w:hint="eastAsia"/>
          <w:sz w:val="28"/>
          <w:szCs w:val="28"/>
        </w:rPr>
        <w:t>股东利益的保护</w:t>
      </w:r>
      <w:bookmarkEnd w:id="38"/>
    </w:p>
    <w:p w14:paraId="4A9BCB99">
      <w:pPr>
        <w:pStyle w:val="55"/>
        <w:numPr>
          <w:ilvl w:val="0"/>
          <w:numId w:val="18"/>
        </w:numPr>
        <w:spacing w:line="300" w:lineRule="auto"/>
        <w:ind w:left="0" w:firstLine="480"/>
        <w:rPr>
          <w:rFonts w:ascii="宋体" w:hAnsi="宋体"/>
          <w:sz w:val="24"/>
          <w:szCs w:val="24"/>
        </w:rPr>
      </w:pPr>
      <w:r>
        <w:rPr>
          <w:rFonts w:hint="eastAsia" w:ascii="宋体" w:hAnsi="宋体"/>
          <w:sz w:val="24"/>
          <w:szCs w:val="24"/>
        </w:rPr>
        <w:t>严格按照公司制的要求，结合浙江三思永恒的《章程》，严格规范与关联方的资金往来，杜绝非经营性占用公司资金情况；</w:t>
      </w:r>
    </w:p>
    <w:p w14:paraId="55DE9568">
      <w:pPr>
        <w:pStyle w:val="55"/>
        <w:numPr>
          <w:ilvl w:val="0"/>
          <w:numId w:val="18"/>
        </w:numPr>
        <w:spacing w:line="300" w:lineRule="auto"/>
        <w:ind w:left="0" w:firstLine="480"/>
        <w:rPr>
          <w:rFonts w:ascii="宋体" w:hAnsi="宋体"/>
          <w:sz w:val="24"/>
          <w:szCs w:val="24"/>
        </w:rPr>
      </w:pPr>
      <w:r>
        <w:rPr>
          <w:rFonts w:hint="eastAsia" w:ascii="宋体" w:hAnsi="宋体"/>
          <w:sz w:val="24"/>
          <w:szCs w:val="24"/>
        </w:rPr>
        <w:t>对公司经营运行过程实行实时全程监视。</w:t>
      </w:r>
    </w:p>
    <w:p w14:paraId="5716950A">
      <w:pPr>
        <w:pStyle w:val="3"/>
        <w:numPr>
          <w:ilvl w:val="0"/>
          <w:numId w:val="17"/>
        </w:numPr>
        <w:spacing w:before="0" w:after="0" w:line="300" w:lineRule="auto"/>
        <w:ind w:left="0" w:firstLine="0"/>
        <w:rPr>
          <w:sz w:val="28"/>
          <w:szCs w:val="28"/>
        </w:rPr>
      </w:pPr>
      <w:bookmarkStart w:id="39" w:name="_Toc47951671"/>
      <w:r>
        <w:rPr>
          <w:rFonts w:hint="eastAsia"/>
          <w:sz w:val="28"/>
          <w:szCs w:val="28"/>
        </w:rPr>
        <w:t>供应商利益的保护</w:t>
      </w:r>
      <w:bookmarkEnd w:id="39"/>
    </w:p>
    <w:p w14:paraId="18608DCE">
      <w:pPr>
        <w:pStyle w:val="55"/>
        <w:numPr>
          <w:ilvl w:val="0"/>
          <w:numId w:val="19"/>
        </w:numPr>
        <w:spacing w:line="300" w:lineRule="auto"/>
        <w:ind w:left="0" w:firstLine="480"/>
        <w:rPr>
          <w:rFonts w:ascii="宋体" w:hAnsi="宋体"/>
          <w:sz w:val="24"/>
          <w:szCs w:val="24"/>
        </w:rPr>
      </w:pPr>
      <w:r>
        <w:rPr>
          <w:rFonts w:hint="eastAsia" w:ascii="宋体" w:hAnsi="宋体"/>
          <w:sz w:val="24"/>
          <w:szCs w:val="24"/>
        </w:rPr>
        <w:t>通过管理体系建立《采购控制程序》，建立公平竞争机制，切实保护供方平等竞争的权利。与重要供方建立战略合作伙伴关系，通过同质同价优先选用，保证其利益。</w:t>
      </w:r>
    </w:p>
    <w:p w14:paraId="4B2CE443">
      <w:pPr>
        <w:pStyle w:val="55"/>
        <w:numPr>
          <w:ilvl w:val="0"/>
          <w:numId w:val="19"/>
        </w:numPr>
        <w:spacing w:line="300" w:lineRule="auto"/>
        <w:ind w:left="0" w:firstLine="480"/>
        <w:rPr>
          <w:rFonts w:ascii="宋体" w:hAnsi="宋体"/>
          <w:sz w:val="24"/>
          <w:szCs w:val="24"/>
        </w:rPr>
      </w:pPr>
      <w:r>
        <w:rPr>
          <w:rFonts w:hint="eastAsia" w:ascii="宋体" w:hAnsi="宋体"/>
          <w:sz w:val="24"/>
          <w:szCs w:val="24"/>
        </w:rPr>
        <w:t>与供应商签订供应商合作协议、产品质量保证协议，明确采购或加工要求、绩效考核要求，保证采购物资的质量；所有合同都严格按要求及时支付货款，保证供应商的利益。</w:t>
      </w:r>
    </w:p>
    <w:p w14:paraId="143DC2AC">
      <w:pPr>
        <w:pStyle w:val="3"/>
        <w:numPr>
          <w:ilvl w:val="0"/>
          <w:numId w:val="17"/>
        </w:numPr>
        <w:spacing w:before="0" w:after="0" w:line="300" w:lineRule="auto"/>
        <w:ind w:left="0" w:firstLine="0"/>
        <w:rPr>
          <w:sz w:val="28"/>
          <w:szCs w:val="28"/>
        </w:rPr>
      </w:pPr>
      <w:bookmarkStart w:id="40" w:name="_Toc47951672"/>
      <w:r>
        <w:rPr>
          <w:rFonts w:hint="eastAsia"/>
          <w:sz w:val="28"/>
          <w:szCs w:val="28"/>
        </w:rPr>
        <w:t>顾客利益的保护</w:t>
      </w:r>
      <w:bookmarkEnd w:id="40"/>
    </w:p>
    <w:p w14:paraId="2061FC48">
      <w:pPr>
        <w:pStyle w:val="55"/>
        <w:numPr>
          <w:ilvl w:val="0"/>
          <w:numId w:val="20"/>
        </w:numPr>
        <w:spacing w:line="300" w:lineRule="auto"/>
        <w:ind w:left="0" w:firstLine="480"/>
        <w:rPr>
          <w:rFonts w:ascii="宋体" w:hAnsi="宋体"/>
          <w:sz w:val="24"/>
          <w:szCs w:val="24"/>
        </w:rPr>
      </w:pPr>
      <w:r>
        <w:rPr>
          <w:rFonts w:hint="eastAsia" w:ascii="宋体" w:hAnsi="宋体"/>
          <w:sz w:val="24"/>
          <w:szCs w:val="24"/>
        </w:rPr>
        <w:t>充分识别顾客需求，并根据顾客需求开发新产品或让顾客选择标准化产品，满足顾客多样性需求，提高顾客满意度。</w:t>
      </w:r>
    </w:p>
    <w:p w14:paraId="6A1807AE">
      <w:pPr>
        <w:pStyle w:val="55"/>
        <w:numPr>
          <w:ilvl w:val="0"/>
          <w:numId w:val="20"/>
        </w:numPr>
        <w:spacing w:line="300" w:lineRule="auto"/>
        <w:ind w:left="0" w:firstLine="480"/>
        <w:rPr>
          <w:rFonts w:ascii="宋体" w:hAnsi="宋体"/>
          <w:sz w:val="24"/>
          <w:szCs w:val="24"/>
        </w:rPr>
      </w:pPr>
      <w:r>
        <w:rPr>
          <w:rFonts w:hint="eastAsia" w:ascii="宋体" w:hAnsi="宋体"/>
          <w:sz w:val="24"/>
          <w:szCs w:val="24"/>
        </w:rPr>
        <w:t>保质保量并及时完成顾客下达的订单，采取有效措施降低其质量不良、供货不足的风险。</w:t>
      </w:r>
    </w:p>
    <w:p w14:paraId="36EBA0E3">
      <w:pPr>
        <w:pStyle w:val="55"/>
        <w:numPr>
          <w:ilvl w:val="0"/>
          <w:numId w:val="20"/>
        </w:numPr>
        <w:spacing w:line="300" w:lineRule="auto"/>
        <w:ind w:left="0" w:firstLine="480"/>
        <w:rPr>
          <w:rFonts w:ascii="宋体" w:hAnsi="宋体"/>
          <w:sz w:val="24"/>
          <w:szCs w:val="24"/>
        </w:rPr>
      </w:pPr>
      <w:r>
        <w:rPr>
          <w:rFonts w:hint="eastAsia" w:ascii="宋体" w:hAnsi="宋体"/>
          <w:sz w:val="24"/>
          <w:szCs w:val="24"/>
        </w:rPr>
        <w:t>建立售后服务及顾客投诉快速反应机制，及时地、有效地解决顾客反馈。</w:t>
      </w:r>
    </w:p>
    <w:p w14:paraId="0887F5EA">
      <w:pPr>
        <w:pStyle w:val="55"/>
        <w:numPr>
          <w:ilvl w:val="0"/>
          <w:numId w:val="20"/>
        </w:numPr>
        <w:spacing w:line="300" w:lineRule="auto"/>
        <w:ind w:left="0" w:firstLine="480"/>
        <w:rPr>
          <w:rFonts w:ascii="宋体" w:hAnsi="宋体"/>
          <w:sz w:val="24"/>
          <w:szCs w:val="24"/>
        </w:rPr>
      </w:pPr>
      <w:r>
        <w:rPr>
          <w:rFonts w:hint="eastAsia" w:ascii="宋体" w:hAnsi="宋体"/>
          <w:sz w:val="24"/>
          <w:szCs w:val="24"/>
        </w:rPr>
        <w:t xml:space="preserve">按管理体系要求严格管理顾客财产，必要时与顾客签订保密协议，确保顾客的隐私和知识产权利益。 </w:t>
      </w:r>
    </w:p>
    <w:p w14:paraId="62F1D67E">
      <w:pPr>
        <w:pStyle w:val="3"/>
        <w:numPr>
          <w:ilvl w:val="0"/>
          <w:numId w:val="17"/>
        </w:numPr>
        <w:spacing w:before="0" w:after="0" w:line="300" w:lineRule="auto"/>
        <w:ind w:left="0" w:firstLine="0"/>
        <w:rPr>
          <w:sz w:val="28"/>
          <w:szCs w:val="28"/>
        </w:rPr>
      </w:pPr>
      <w:bookmarkStart w:id="41" w:name="_Toc47951673"/>
      <w:r>
        <w:rPr>
          <w:rFonts w:hint="eastAsia"/>
          <w:sz w:val="28"/>
          <w:szCs w:val="28"/>
        </w:rPr>
        <w:t>社会利益的保护</w:t>
      </w:r>
      <w:bookmarkEnd w:id="41"/>
    </w:p>
    <w:p w14:paraId="72BE7A5C">
      <w:pPr>
        <w:pStyle w:val="55"/>
        <w:numPr>
          <w:ilvl w:val="0"/>
          <w:numId w:val="21"/>
        </w:numPr>
        <w:spacing w:line="300" w:lineRule="auto"/>
        <w:ind w:left="0" w:firstLine="480"/>
        <w:rPr>
          <w:rFonts w:ascii="宋体" w:hAnsi="宋体"/>
          <w:sz w:val="24"/>
          <w:szCs w:val="24"/>
        </w:rPr>
      </w:pPr>
      <w:r>
        <w:rPr>
          <w:rFonts w:hint="eastAsia" w:ascii="宋体" w:hAnsi="宋体"/>
          <w:sz w:val="24"/>
          <w:szCs w:val="24"/>
        </w:rPr>
        <w:t>通过建立、持续有效运行 ISO14001环境体系和 ISO 45001 职业健康安全体系，每年进行环境因素、危险源的识别和重新识别，确定重要环境因素和不可接受风险；</w:t>
      </w:r>
    </w:p>
    <w:p w14:paraId="10690C6B">
      <w:pPr>
        <w:pStyle w:val="55"/>
        <w:numPr>
          <w:ilvl w:val="0"/>
          <w:numId w:val="21"/>
        </w:numPr>
        <w:spacing w:line="300" w:lineRule="auto"/>
        <w:ind w:left="0" w:firstLine="480"/>
        <w:rPr>
          <w:rFonts w:ascii="宋体" w:hAnsi="宋体"/>
          <w:sz w:val="24"/>
          <w:szCs w:val="24"/>
        </w:rPr>
      </w:pPr>
      <w:r>
        <w:rPr>
          <w:rFonts w:hint="eastAsia" w:ascii="宋体" w:hAnsi="宋体"/>
          <w:sz w:val="24"/>
          <w:szCs w:val="24"/>
        </w:rPr>
        <w:t>收集并更新相关法律法规要求，设立公司目标指标并分解至各部门，制定相应的控制措施，每月跟进措施计划的进展，对公司产品、服务和运营方面可能造成的影响进行监测，采取措施确保符合国家、行业法律法规及顾客的要求。</w:t>
      </w:r>
    </w:p>
    <w:p w14:paraId="290E150D">
      <w:pPr>
        <w:pStyle w:val="55"/>
        <w:numPr>
          <w:ilvl w:val="0"/>
          <w:numId w:val="21"/>
        </w:numPr>
        <w:spacing w:line="300" w:lineRule="auto"/>
        <w:ind w:left="0" w:firstLine="480"/>
        <w:rPr>
          <w:rFonts w:ascii="宋体" w:hAnsi="宋体"/>
          <w:sz w:val="24"/>
          <w:szCs w:val="24"/>
        </w:rPr>
      </w:pPr>
      <w:r>
        <w:rPr>
          <w:rFonts w:hint="eastAsia" w:ascii="宋体" w:hAnsi="宋体"/>
          <w:sz w:val="24"/>
          <w:szCs w:val="24"/>
        </w:rPr>
        <w:t>在管理评审会上报告年度目标、措施办法、法律法规符合性的达成状况，制定控制和改进措施。</w:t>
      </w:r>
    </w:p>
    <w:p w14:paraId="1C4A65B2">
      <w:pPr>
        <w:pStyle w:val="55"/>
        <w:numPr>
          <w:ilvl w:val="0"/>
          <w:numId w:val="21"/>
        </w:numPr>
        <w:spacing w:line="300" w:lineRule="auto"/>
        <w:ind w:left="0" w:firstLine="480"/>
        <w:rPr>
          <w:rFonts w:ascii="宋体" w:hAnsi="宋体"/>
          <w:sz w:val="24"/>
          <w:szCs w:val="24"/>
        </w:rPr>
      </w:pPr>
      <w:r>
        <w:rPr>
          <w:rFonts w:hint="eastAsia" w:ascii="宋体" w:hAnsi="宋体"/>
          <w:sz w:val="24"/>
          <w:szCs w:val="24"/>
        </w:rPr>
        <w:t>引进先进的环保处理装置，积极开展企业的绿色生产教育、宣传和培训，实施节能降耗减排，严格控制和消减“三废”的产生、噪声对周边的污染，营造良好的生态环境。最大限度的减少了生产环节的环境污染和危害。</w:t>
      </w:r>
    </w:p>
    <w:p w14:paraId="6D2C2C90">
      <w:pPr>
        <w:pStyle w:val="3"/>
        <w:numPr>
          <w:ilvl w:val="0"/>
          <w:numId w:val="17"/>
        </w:numPr>
        <w:spacing w:before="0" w:after="0" w:line="300" w:lineRule="auto"/>
        <w:ind w:left="0" w:firstLine="0"/>
        <w:rPr>
          <w:sz w:val="28"/>
          <w:szCs w:val="28"/>
        </w:rPr>
      </w:pPr>
      <w:bookmarkStart w:id="42" w:name="_Toc47951674"/>
      <w:r>
        <w:rPr>
          <w:rFonts w:hint="eastAsia"/>
          <w:sz w:val="28"/>
          <w:szCs w:val="28"/>
        </w:rPr>
        <w:t>员工利益的保护</w:t>
      </w:r>
      <w:bookmarkEnd w:id="42"/>
    </w:p>
    <w:p w14:paraId="52B6746A">
      <w:pPr>
        <w:pStyle w:val="55"/>
        <w:numPr>
          <w:ilvl w:val="0"/>
          <w:numId w:val="22"/>
        </w:numPr>
        <w:spacing w:line="300" w:lineRule="auto"/>
        <w:ind w:left="0" w:firstLine="480"/>
        <w:rPr>
          <w:rFonts w:ascii="宋体" w:hAnsi="宋体"/>
          <w:sz w:val="24"/>
          <w:szCs w:val="24"/>
        </w:rPr>
      </w:pPr>
      <w:r>
        <w:rPr>
          <w:rFonts w:hint="eastAsia" w:ascii="宋体" w:hAnsi="宋体"/>
          <w:sz w:val="24"/>
          <w:szCs w:val="24"/>
        </w:rPr>
        <w:t>严格执行《劳动法》，按照国家相关法律法规的要求和“平等、自愿、协商”的原则，与员工签订劳动合同。劳动合同中关于劳动合同期限、工作内容、劳动保护和劳动条件、劳动报酬、劳动纪律、劳动合同终止条件、违反劳动合同的责任等主要条款齐全、合法。</w:t>
      </w:r>
    </w:p>
    <w:p w14:paraId="3C9CFA1F">
      <w:pPr>
        <w:pStyle w:val="55"/>
        <w:numPr>
          <w:ilvl w:val="0"/>
          <w:numId w:val="22"/>
        </w:numPr>
        <w:spacing w:line="300" w:lineRule="auto"/>
        <w:ind w:left="0" w:firstLine="480"/>
        <w:rPr>
          <w:rFonts w:ascii="宋体" w:hAnsi="宋体"/>
          <w:sz w:val="24"/>
          <w:szCs w:val="24"/>
        </w:rPr>
      </w:pPr>
      <w:r>
        <w:rPr>
          <w:rFonts w:hint="eastAsia" w:ascii="宋体" w:hAnsi="宋体"/>
          <w:sz w:val="24"/>
          <w:szCs w:val="24"/>
        </w:rPr>
        <w:t>严格遵守有关法律法规，奉行平等、非歧视的用工政策，公平和公正地对待不同宗教信仰和文化背景下的员工，坚决杜绝雇佣童工和强迫劳动。</w:t>
      </w:r>
    </w:p>
    <w:p w14:paraId="6D345B83">
      <w:pPr>
        <w:pStyle w:val="55"/>
        <w:numPr>
          <w:ilvl w:val="0"/>
          <w:numId w:val="22"/>
        </w:numPr>
        <w:spacing w:line="300" w:lineRule="auto"/>
        <w:ind w:left="0" w:firstLine="480"/>
        <w:rPr>
          <w:rFonts w:ascii="宋体" w:hAnsi="宋体"/>
          <w:sz w:val="24"/>
          <w:szCs w:val="24"/>
        </w:rPr>
      </w:pPr>
      <w:r>
        <w:rPr>
          <w:rFonts w:hint="eastAsia" w:ascii="宋体" w:hAnsi="宋体"/>
          <w:sz w:val="24"/>
          <w:szCs w:val="24"/>
        </w:rPr>
        <w:t>按照国家相关要求，为员工办理了法定社会保险，包括养老保险、医疗保险、失业保险、工伤保险、生育保险等；</w:t>
      </w:r>
    </w:p>
    <w:p w14:paraId="0CA7B225">
      <w:pPr>
        <w:pStyle w:val="55"/>
        <w:numPr>
          <w:ilvl w:val="0"/>
          <w:numId w:val="22"/>
        </w:numPr>
        <w:spacing w:line="300" w:lineRule="auto"/>
        <w:ind w:left="0" w:firstLine="480"/>
        <w:rPr>
          <w:rFonts w:ascii="宋体" w:hAnsi="宋体"/>
          <w:sz w:val="24"/>
          <w:szCs w:val="24"/>
        </w:rPr>
      </w:pPr>
      <w:r>
        <w:rPr>
          <w:rFonts w:hint="eastAsia" w:ascii="宋体" w:hAnsi="宋体"/>
          <w:sz w:val="24"/>
          <w:szCs w:val="24"/>
        </w:rPr>
        <w:t>按照国家的有关规定，保证员工正常工作和休息、休假的权利，对于因生产任务需要进行加班工作的员工，则在保障员工身体健康并充分听取工会意见的基础上，采取适当的工作和休息方式，确保员工休息、休假权利和生产、工作任务的完成。</w:t>
      </w:r>
    </w:p>
    <w:p w14:paraId="1869EB2B">
      <w:pPr>
        <w:pStyle w:val="55"/>
        <w:numPr>
          <w:ilvl w:val="0"/>
          <w:numId w:val="22"/>
        </w:numPr>
        <w:spacing w:line="300" w:lineRule="auto"/>
        <w:ind w:left="0" w:firstLine="480"/>
        <w:rPr>
          <w:rFonts w:ascii="宋体" w:hAnsi="宋体"/>
          <w:sz w:val="24"/>
          <w:szCs w:val="24"/>
        </w:rPr>
      </w:pPr>
      <w:r>
        <w:rPr>
          <w:rFonts w:hint="eastAsia" w:ascii="宋体" w:hAnsi="宋体"/>
          <w:sz w:val="24"/>
          <w:szCs w:val="24"/>
        </w:rPr>
        <w:t>按照市场化原则，提供富有竞争力的薪酬，建立因岗而异，成果分享，均衡内外部报酬，为卓越加薪的薪酬体系。</w:t>
      </w:r>
    </w:p>
    <w:p w14:paraId="326F8D2A">
      <w:pPr>
        <w:pStyle w:val="55"/>
        <w:numPr>
          <w:ilvl w:val="0"/>
          <w:numId w:val="22"/>
        </w:numPr>
        <w:spacing w:line="300" w:lineRule="auto"/>
        <w:ind w:left="0" w:firstLine="480"/>
        <w:rPr>
          <w:rFonts w:ascii="宋体" w:hAnsi="宋体"/>
          <w:sz w:val="24"/>
          <w:szCs w:val="24"/>
        </w:rPr>
      </w:pPr>
      <w:r>
        <w:rPr>
          <w:rFonts w:hint="eastAsia" w:ascii="宋体" w:hAnsi="宋体"/>
          <w:sz w:val="24"/>
          <w:szCs w:val="24"/>
        </w:rPr>
        <w:t>为所有新员工开展职业健康安全培训，所有在职员工每年进行至少一次职业健康安全培训。每年至少一次组织员工进行职业健康体检。</w:t>
      </w:r>
    </w:p>
    <w:p w14:paraId="7C87551A">
      <w:pPr>
        <w:pStyle w:val="55"/>
        <w:numPr>
          <w:ilvl w:val="0"/>
          <w:numId w:val="22"/>
        </w:numPr>
        <w:spacing w:line="300" w:lineRule="auto"/>
        <w:ind w:left="0" w:firstLine="480"/>
        <w:rPr>
          <w:rFonts w:ascii="宋体" w:hAnsi="宋体"/>
          <w:sz w:val="24"/>
          <w:szCs w:val="24"/>
        </w:rPr>
      </w:pPr>
      <w:r>
        <w:rPr>
          <w:rFonts w:hint="eastAsia" w:ascii="宋体" w:hAnsi="宋体"/>
          <w:sz w:val="24"/>
          <w:szCs w:val="24"/>
        </w:rPr>
        <w:t>开展各种员工活动，为员工提供工作餐，保证员工都能安居乐业。不定期组织员工外出旅游，以促进员工身心健康。</w:t>
      </w:r>
    </w:p>
    <w:p w14:paraId="6ED8C645">
      <w:pPr>
        <w:pStyle w:val="2"/>
        <w:numPr>
          <w:ilvl w:val="0"/>
          <w:numId w:val="1"/>
        </w:numPr>
        <w:tabs>
          <w:tab w:val="left" w:pos="567"/>
        </w:tabs>
        <w:spacing w:before="0" w:after="0" w:line="300" w:lineRule="auto"/>
        <w:ind w:left="0" w:firstLine="0"/>
        <w:jc w:val="left"/>
        <w:rPr>
          <w:rFonts w:ascii="宋体" w:hAnsi="宋体"/>
          <w:sz w:val="32"/>
          <w:szCs w:val="32"/>
        </w:rPr>
      </w:pPr>
      <w:bookmarkStart w:id="43" w:name="_Toc8221286"/>
      <w:bookmarkStart w:id="44" w:name="_Toc47951675"/>
      <w:r>
        <w:rPr>
          <w:rFonts w:hint="eastAsia" w:ascii="宋体" w:hAnsi="宋体"/>
          <w:sz w:val="32"/>
          <w:szCs w:val="32"/>
        </w:rPr>
        <w:t>社会责任</w:t>
      </w:r>
      <w:bookmarkEnd w:id="43"/>
      <w:bookmarkEnd w:id="44"/>
    </w:p>
    <w:p w14:paraId="0D3B40C7">
      <w:pPr>
        <w:pStyle w:val="3"/>
        <w:numPr>
          <w:ilvl w:val="0"/>
          <w:numId w:val="23"/>
        </w:numPr>
        <w:spacing w:before="0" w:after="0" w:line="300" w:lineRule="auto"/>
        <w:rPr>
          <w:sz w:val="28"/>
          <w:szCs w:val="28"/>
        </w:rPr>
      </w:pPr>
      <w:bookmarkStart w:id="45" w:name="_Toc47951676"/>
      <w:r>
        <w:rPr>
          <w:rFonts w:hint="eastAsia"/>
          <w:sz w:val="28"/>
          <w:szCs w:val="28"/>
        </w:rPr>
        <w:t>公共责任</w:t>
      </w:r>
      <w:bookmarkEnd w:id="45"/>
    </w:p>
    <w:p w14:paraId="3530C193">
      <w:pPr>
        <w:spacing w:line="300" w:lineRule="auto"/>
        <w:ind w:firstLine="480" w:firstLineChars="200"/>
        <w:rPr>
          <w:rFonts w:ascii="宋体" w:hAnsi="宋体"/>
          <w:sz w:val="24"/>
          <w:szCs w:val="24"/>
        </w:rPr>
      </w:pPr>
      <w:r>
        <w:rPr>
          <w:rFonts w:hint="eastAsia" w:ascii="宋体" w:hAnsi="宋体"/>
          <w:sz w:val="24"/>
          <w:szCs w:val="24"/>
        </w:rPr>
        <w:t>公司恪守道德规范，从“环境保护、资源综合利用、安全生产、公共卫生”四个方面对公共责任进行履行，确定控制标准、控制指标、测量方法、控制措施和责任部门。详见表6。</w:t>
      </w:r>
    </w:p>
    <w:p w14:paraId="62B61BAC">
      <w:pPr>
        <w:widowControl/>
        <w:spacing w:line="300" w:lineRule="auto"/>
        <w:jc w:val="left"/>
        <w:rPr>
          <w:rFonts w:ascii="宋体" w:hAnsi="宋体"/>
          <w:b/>
          <w:szCs w:val="21"/>
        </w:rPr>
      </w:pPr>
      <w:r>
        <w:rPr>
          <w:rFonts w:hint="eastAsia" w:ascii="宋体" w:hAnsi="宋体"/>
          <w:b/>
          <w:szCs w:val="21"/>
        </w:rPr>
        <w:t>表</w:t>
      </w:r>
      <w:r>
        <w:rPr>
          <w:rFonts w:hint="eastAsia" w:ascii="宋体" w:hAnsi="宋体"/>
          <w:b/>
          <w:szCs w:val="21"/>
        </w:rPr>
        <w:fldChar w:fldCharType="begin"/>
      </w:r>
      <w:r>
        <w:rPr>
          <w:rFonts w:hint="eastAsia" w:ascii="宋体" w:hAnsi="宋体"/>
          <w:b/>
          <w:szCs w:val="21"/>
        </w:rPr>
        <w:instrText xml:space="preserve"> SEQ 表4.1- \* ARABIC </w:instrText>
      </w:r>
      <w:r>
        <w:rPr>
          <w:rFonts w:hint="eastAsia" w:ascii="宋体" w:hAnsi="宋体"/>
          <w:b/>
          <w:szCs w:val="21"/>
        </w:rPr>
        <w:fldChar w:fldCharType="separate"/>
      </w:r>
      <w:r>
        <w:rPr>
          <w:rFonts w:hint="eastAsia" w:ascii="宋体" w:hAnsi="宋体"/>
          <w:b/>
          <w:szCs w:val="21"/>
        </w:rPr>
        <w:t>6</w:t>
      </w:r>
      <w:r>
        <w:rPr>
          <w:rFonts w:hint="eastAsia" w:ascii="宋体" w:hAnsi="宋体"/>
          <w:b/>
          <w:szCs w:val="21"/>
        </w:rPr>
        <w:fldChar w:fldCharType="end"/>
      </w:r>
      <w:r>
        <w:rPr>
          <w:rFonts w:hint="eastAsia" w:ascii="宋体" w:hAnsi="宋体"/>
          <w:b/>
          <w:szCs w:val="21"/>
        </w:rPr>
        <w:t xml:space="preserve">                         测量指标、方法及控制过程</w:t>
      </w:r>
    </w:p>
    <w:tbl>
      <w:tblPr>
        <w:tblStyle w:val="17"/>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425"/>
        <w:gridCol w:w="1857"/>
        <w:gridCol w:w="980"/>
        <w:gridCol w:w="3338"/>
        <w:gridCol w:w="1262"/>
        <w:gridCol w:w="999"/>
      </w:tblGrid>
      <w:tr w14:paraId="7B1E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507517">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项目</w:t>
            </w:r>
          </w:p>
        </w:tc>
        <w:tc>
          <w:tcPr>
            <w:tcW w:w="1857" w:type="dxa"/>
            <w:tcBorders>
              <w:top w:val="single" w:color="auto" w:sz="4" w:space="0"/>
              <w:left w:val="single" w:color="auto" w:sz="4" w:space="0"/>
              <w:bottom w:val="single" w:color="auto" w:sz="4" w:space="0"/>
              <w:right w:val="single" w:color="auto" w:sz="4" w:space="0"/>
            </w:tcBorders>
            <w:shd w:val="clear" w:color="auto" w:fill="auto"/>
            <w:vAlign w:val="center"/>
          </w:tcPr>
          <w:p w14:paraId="4CA8EADE">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控制标准</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074715B4">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控制指标</w:t>
            </w:r>
          </w:p>
        </w:tc>
        <w:tc>
          <w:tcPr>
            <w:tcW w:w="3338" w:type="dxa"/>
            <w:tcBorders>
              <w:top w:val="single" w:color="auto" w:sz="4" w:space="0"/>
              <w:left w:val="single" w:color="auto" w:sz="4" w:space="0"/>
              <w:bottom w:val="single" w:color="auto" w:sz="4" w:space="0"/>
              <w:right w:val="single" w:color="auto" w:sz="4" w:space="0"/>
            </w:tcBorders>
            <w:shd w:val="clear" w:color="auto" w:fill="auto"/>
            <w:vAlign w:val="center"/>
          </w:tcPr>
          <w:p w14:paraId="4D183FB4">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过程控制措施</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14:paraId="3650C7C4">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测量方法</w:t>
            </w:r>
          </w:p>
        </w:tc>
        <w:tc>
          <w:tcPr>
            <w:tcW w:w="999" w:type="dxa"/>
            <w:tcBorders>
              <w:top w:val="single" w:color="auto" w:sz="4" w:space="0"/>
              <w:left w:val="single" w:color="auto" w:sz="4" w:space="0"/>
              <w:bottom w:val="single" w:color="auto" w:sz="4" w:space="0"/>
              <w:right w:val="single" w:color="auto" w:sz="4" w:space="0"/>
            </w:tcBorders>
            <w:shd w:val="clear" w:color="auto" w:fill="auto"/>
            <w:vAlign w:val="center"/>
          </w:tcPr>
          <w:p w14:paraId="540C68D8">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部门</w:t>
            </w:r>
          </w:p>
        </w:tc>
      </w:tr>
      <w:tr w14:paraId="70A2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84" w:type="dxa"/>
            <w:vMerge w:val="restart"/>
            <w:tcBorders>
              <w:top w:val="single" w:color="auto" w:sz="4" w:space="0"/>
              <w:left w:val="single" w:color="auto" w:sz="4" w:space="0"/>
              <w:bottom w:val="single" w:color="auto" w:sz="4" w:space="0"/>
              <w:right w:val="single" w:color="auto" w:sz="4" w:space="0"/>
            </w:tcBorders>
            <w:vAlign w:val="center"/>
          </w:tcPr>
          <w:p w14:paraId="6E813233">
            <w:pPr>
              <w:jc w:val="center"/>
              <w:rPr>
                <w:rFonts w:asciiTheme="minorEastAsia" w:hAnsiTheme="minorEastAsia"/>
                <w:sz w:val="18"/>
                <w:szCs w:val="18"/>
              </w:rPr>
            </w:pPr>
            <w:r>
              <w:rPr>
                <w:rFonts w:asciiTheme="minorEastAsia" w:hAnsiTheme="minorEastAsia"/>
                <w:sz w:val="18"/>
                <w:szCs w:val="18"/>
              </w:rPr>
              <w:t>环</w:t>
            </w:r>
            <w:r>
              <w:rPr>
                <w:rFonts w:hint="eastAsia" w:asciiTheme="minorEastAsia" w:hAnsiTheme="minorEastAsia"/>
                <w:sz w:val="18"/>
                <w:szCs w:val="18"/>
              </w:rPr>
              <w:t>境</w:t>
            </w:r>
            <w:r>
              <w:rPr>
                <w:rFonts w:asciiTheme="minorEastAsia" w:hAnsiTheme="minorEastAsia"/>
                <w:sz w:val="18"/>
                <w:szCs w:val="18"/>
              </w:rPr>
              <w:t>保护</w:t>
            </w:r>
          </w:p>
        </w:tc>
        <w:tc>
          <w:tcPr>
            <w:tcW w:w="425" w:type="dxa"/>
            <w:tcBorders>
              <w:top w:val="single" w:color="auto" w:sz="4" w:space="0"/>
              <w:left w:val="single" w:color="auto" w:sz="4" w:space="0"/>
              <w:bottom w:val="single" w:color="auto" w:sz="4" w:space="0"/>
              <w:right w:val="single" w:color="auto" w:sz="4" w:space="0"/>
            </w:tcBorders>
            <w:vAlign w:val="center"/>
          </w:tcPr>
          <w:p w14:paraId="6D6FAE5C">
            <w:pPr>
              <w:jc w:val="center"/>
              <w:rPr>
                <w:rFonts w:asciiTheme="minorEastAsia" w:hAnsiTheme="minorEastAsia"/>
                <w:sz w:val="18"/>
                <w:szCs w:val="18"/>
              </w:rPr>
            </w:pPr>
            <w:r>
              <w:rPr>
                <w:rFonts w:hint="eastAsia" w:asciiTheme="minorEastAsia" w:hAnsiTheme="minorEastAsia"/>
                <w:sz w:val="18"/>
                <w:szCs w:val="18"/>
              </w:rPr>
              <w:t>废气</w:t>
            </w:r>
          </w:p>
        </w:tc>
        <w:tc>
          <w:tcPr>
            <w:tcW w:w="1857" w:type="dxa"/>
            <w:vAlign w:val="center"/>
          </w:tcPr>
          <w:p w14:paraId="7080E58C">
            <w:pPr>
              <w:rPr>
                <w:rFonts w:asciiTheme="minorEastAsia" w:hAnsiTheme="minorEastAsia"/>
                <w:sz w:val="18"/>
                <w:szCs w:val="18"/>
              </w:rPr>
            </w:pPr>
            <w:r>
              <w:rPr>
                <w:rFonts w:hint="eastAsia" w:asciiTheme="minorEastAsia" w:hAnsiTheme="minorEastAsia"/>
                <w:sz w:val="18"/>
                <w:szCs w:val="18"/>
              </w:rPr>
              <w:t>GB16297-1996《大气污染物综合排放标准》二级</w:t>
            </w:r>
          </w:p>
        </w:tc>
        <w:tc>
          <w:tcPr>
            <w:tcW w:w="980" w:type="dxa"/>
            <w:vMerge w:val="restart"/>
            <w:tcBorders>
              <w:top w:val="single" w:color="auto" w:sz="4" w:space="0"/>
              <w:left w:val="single" w:color="auto" w:sz="4" w:space="0"/>
              <w:bottom w:val="single" w:color="auto" w:sz="4" w:space="0"/>
              <w:right w:val="single" w:color="auto" w:sz="4" w:space="0"/>
            </w:tcBorders>
            <w:vAlign w:val="center"/>
          </w:tcPr>
          <w:p w14:paraId="1BF31BE1">
            <w:pPr>
              <w:jc w:val="center"/>
              <w:rPr>
                <w:rFonts w:asciiTheme="minorEastAsia" w:hAnsiTheme="minorEastAsia"/>
                <w:sz w:val="18"/>
                <w:szCs w:val="18"/>
              </w:rPr>
            </w:pPr>
            <w:r>
              <w:rPr>
                <w:rFonts w:hint="eastAsia" w:asciiTheme="minorEastAsia" w:hAnsiTheme="minorEastAsia"/>
                <w:sz w:val="18"/>
                <w:szCs w:val="18"/>
              </w:rPr>
              <w:t>三废</w:t>
            </w:r>
          </w:p>
          <w:p w14:paraId="58814F7E">
            <w:pPr>
              <w:jc w:val="center"/>
              <w:rPr>
                <w:rFonts w:asciiTheme="minorEastAsia" w:hAnsiTheme="minorEastAsia"/>
                <w:sz w:val="18"/>
                <w:szCs w:val="18"/>
              </w:rPr>
            </w:pPr>
            <w:r>
              <w:rPr>
                <w:rFonts w:hint="eastAsia" w:asciiTheme="minorEastAsia" w:hAnsiTheme="minorEastAsia"/>
                <w:sz w:val="18"/>
                <w:szCs w:val="18"/>
              </w:rPr>
              <w:t>排放</w:t>
            </w:r>
          </w:p>
          <w:p w14:paraId="73D37CEC">
            <w:pPr>
              <w:jc w:val="center"/>
              <w:rPr>
                <w:rFonts w:asciiTheme="minorEastAsia" w:hAnsiTheme="minorEastAsia"/>
                <w:sz w:val="18"/>
                <w:szCs w:val="18"/>
              </w:rPr>
            </w:pPr>
            <w:r>
              <w:rPr>
                <w:rFonts w:hint="eastAsia" w:asciiTheme="minorEastAsia" w:hAnsiTheme="minorEastAsia"/>
                <w:sz w:val="18"/>
                <w:szCs w:val="18"/>
              </w:rPr>
              <w:t>达标</w:t>
            </w:r>
          </w:p>
        </w:tc>
        <w:tc>
          <w:tcPr>
            <w:tcW w:w="3338" w:type="dxa"/>
            <w:tcBorders>
              <w:top w:val="single" w:color="auto" w:sz="4" w:space="0"/>
              <w:left w:val="single" w:color="auto" w:sz="4" w:space="0"/>
              <w:bottom w:val="single" w:color="auto" w:sz="4" w:space="0"/>
              <w:right w:val="single" w:color="auto" w:sz="4" w:space="0"/>
            </w:tcBorders>
            <w:vAlign w:val="center"/>
          </w:tcPr>
          <w:p w14:paraId="136C5602">
            <w:pPr>
              <w:numPr>
                <w:ilvl w:val="0"/>
                <w:numId w:val="24"/>
              </w:numPr>
              <w:tabs>
                <w:tab w:val="left" w:pos="185"/>
              </w:tabs>
              <w:ind w:left="0" w:firstLine="0"/>
              <w:rPr>
                <w:rFonts w:asciiTheme="minorEastAsia" w:hAnsiTheme="minorEastAsia"/>
                <w:sz w:val="18"/>
                <w:szCs w:val="18"/>
              </w:rPr>
            </w:pPr>
            <w:r>
              <w:rPr>
                <w:rFonts w:hint="eastAsia" w:asciiTheme="minorEastAsia" w:hAnsiTheme="minorEastAsia"/>
                <w:sz w:val="18"/>
                <w:szCs w:val="18"/>
              </w:rPr>
              <w:t>依据各在序操作规程，规范员工作业；</w:t>
            </w:r>
          </w:p>
          <w:p w14:paraId="3E2C5056">
            <w:pPr>
              <w:numPr>
                <w:ilvl w:val="0"/>
                <w:numId w:val="24"/>
              </w:numPr>
              <w:tabs>
                <w:tab w:val="left" w:pos="185"/>
              </w:tabs>
              <w:ind w:left="0" w:firstLine="0"/>
              <w:rPr>
                <w:rFonts w:asciiTheme="minorEastAsia" w:hAnsiTheme="minorEastAsia"/>
                <w:sz w:val="18"/>
                <w:szCs w:val="18"/>
              </w:rPr>
            </w:pPr>
            <w:r>
              <w:rPr>
                <w:rFonts w:hint="eastAsia" w:asciiTheme="minorEastAsia" w:hAnsiTheme="minorEastAsia"/>
                <w:sz w:val="18"/>
                <w:szCs w:val="18"/>
              </w:rPr>
              <w:t>定期对废气处理设备进行维护保养，确保处理能力。</w:t>
            </w:r>
          </w:p>
        </w:tc>
        <w:tc>
          <w:tcPr>
            <w:tcW w:w="1262" w:type="dxa"/>
            <w:vMerge w:val="restart"/>
            <w:tcBorders>
              <w:top w:val="single" w:color="auto" w:sz="4" w:space="0"/>
              <w:left w:val="single" w:color="auto" w:sz="4" w:space="0"/>
              <w:bottom w:val="single" w:color="auto" w:sz="4" w:space="0"/>
              <w:right w:val="single" w:color="auto" w:sz="4" w:space="0"/>
            </w:tcBorders>
            <w:vAlign w:val="center"/>
          </w:tcPr>
          <w:p w14:paraId="4512C344">
            <w:pPr>
              <w:rPr>
                <w:rFonts w:asciiTheme="minorEastAsia" w:hAnsiTheme="minorEastAsia"/>
                <w:sz w:val="18"/>
                <w:szCs w:val="18"/>
              </w:rPr>
            </w:pPr>
            <w:r>
              <w:rPr>
                <w:rFonts w:hint="eastAsia" w:asciiTheme="minorEastAsia" w:hAnsiTheme="minorEastAsia"/>
                <w:sz w:val="18"/>
                <w:szCs w:val="18"/>
              </w:rPr>
              <w:t>委外监测</w:t>
            </w:r>
          </w:p>
        </w:tc>
        <w:tc>
          <w:tcPr>
            <w:tcW w:w="999" w:type="dxa"/>
            <w:vMerge w:val="restart"/>
            <w:tcBorders>
              <w:top w:val="single" w:color="auto" w:sz="4" w:space="0"/>
              <w:left w:val="single" w:color="auto" w:sz="4" w:space="0"/>
              <w:bottom w:val="single" w:color="auto" w:sz="4" w:space="0"/>
              <w:right w:val="single" w:color="auto" w:sz="4" w:space="0"/>
            </w:tcBorders>
            <w:vAlign w:val="center"/>
          </w:tcPr>
          <w:p w14:paraId="7BD9E13D">
            <w:pPr>
              <w:jc w:val="center"/>
              <w:rPr>
                <w:rFonts w:asciiTheme="minorEastAsia" w:hAnsiTheme="minorEastAsia"/>
                <w:sz w:val="18"/>
                <w:szCs w:val="18"/>
              </w:rPr>
            </w:pPr>
            <w:r>
              <w:rPr>
                <w:rFonts w:hint="eastAsia" w:asciiTheme="minorEastAsia" w:hAnsiTheme="minorEastAsia"/>
                <w:sz w:val="18"/>
                <w:szCs w:val="18"/>
              </w:rPr>
              <w:t>办公室</w:t>
            </w:r>
          </w:p>
        </w:tc>
      </w:tr>
      <w:tr w14:paraId="209B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Merge w:val="continue"/>
            <w:tcBorders>
              <w:left w:val="single" w:color="auto" w:sz="4" w:space="0"/>
              <w:right w:val="single" w:color="auto" w:sz="4" w:space="0"/>
            </w:tcBorders>
            <w:vAlign w:val="center"/>
          </w:tcPr>
          <w:p w14:paraId="34059A99">
            <w:pPr>
              <w:adjustRightInd w:val="0"/>
              <w:snapToGrid w:val="0"/>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14:paraId="5608BA52">
            <w:pPr>
              <w:jc w:val="center"/>
              <w:rPr>
                <w:rFonts w:asciiTheme="minorEastAsia" w:hAnsiTheme="minorEastAsia"/>
                <w:sz w:val="18"/>
                <w:szCs w:val="18"/>
              </w:rPr>
            </w:pPr>
            <w:r>
              <w:rPr>
                <w:rFonts w:hint="eastAsia" w:asciiTheme="minorEastAsia" w:hAnsiTheme="minorEastAsia"/>
                <w:sz w:val="18"/>
                <w:szCs w:val="18"/>
              </w:rPr>
              <w:t>废水</w:t>
            </w:r>
          </w:p>
        </w:tc>
        <w:tc>
          <w:tcPr>
            <w:tcW w:w="1857" w:type="dxa"/>
            <w:vAlign w:val="center"/>
          </w:tcPr>
          <w:p w14:paraId="27E0B45B">
            <w:pPr>
              <w:rPr>
                <w:rFonts w:asciiTheme="minorEastAsia" w:hAnsiTheme="minorEastAsia"/>
                <w:sz w:val="18"/>
                <w:szCs w:val="18"/>
              </w:rPr>
            </w:pPr>
            <w:r>
              <w:rPr>
                <w:rFonts w:hint="eastAsia" w:asciiTheme="minorEastAsia" w:hAnsiTheme="minorEastAsia"/>
                <w:sz w:val="18"/>
                <w:szCs w:val="18"/>
              </w:rPr>
              <w:t>GB8978-1996《污水综合排放标准》三级</w:t>
            </w:r>
          </w:p>
        </w:tc>
        <w:tc>
          <w:tcPr>
            <w:tcW w:w="980" w:type="dxa"/>
            <w:vMerge w:val="continue"/>
            <w:tcBorders>
              <w:left w:val="single" w:color="auto" w:sz="4" w:space="0"/>
              <w:right w:val="single" w:color="auto" w:sz="4" w:space="0"/>
            </w:tcBorders>
            <w:vAlign w:val="center"/>
          </w:tcPr>
          <w:p w14:paraId="7273D55B">
            <w:pPr>
              <w:jc w:val="center"/>
              <w:rPr>
                <w:rFonts w:asciiTheme="minorEastAsia" w:hAnsiTheme="minorEastAsia"/>
                <w:sz w:val="18"/>
                <w:szCs w:val="18"/>
              </w:rPr>
            </w:pPr>
          </w:p>
        </w:tc>
        <w:tc>
          <w:tcPr>
            <w:tcW w:w="3338" w:type="dxa"/>
            <w:tcBorders>
              <w:top w:val="single" w:color="auto" w:sz="4" w:space="0"/>
              <w:left w:val="single" w:color="auto" w:sz="4" w:space="0"/>
              <w:bottom w:val="single" w:color="auto" w:sz="4" w:space="0"/>
              <w:right w:val="single" w:color="auto" w:sz="4" w:space="0"/>
            </w:tcBorders>
            <w:vAlign w:val="center"/>
          </w:tcPr>
          <w:p w14:paraId="60CCFD24">
            <w:pPr>
              <w:numPr>
                <w:ilvl w:val="0"/>
                <w:numId w:val="25"/>
              </w:numPr>
              <w:tabs>
                <w:tab w:val="left" w:pos="185"/>
              </w:tabs>
              <w:ind w:left="0" w:firstLine="0"/>
              <w:rPr>
                <w:rFonts w:asciiTheme="minorEastAsia" w:hAnsiTheme="minorEastAsia"/>
                <w:sz w:val="18"/>
                <w:szCs w:val="18"/>
              </w:rPr>
            </w:pPr>
            <w:r>
              <w:rPr>
                <w:rFonts w:hint="eastAsia" w:asciiTheme="minorEastAsia" w:hAnsiTheme="minorEastAsia"/>
                <w:sz w:val="18"/>
                <w:szCs w:val="18"/>
              </w:rPr>
              <w:t>严格厂内用水管理，禁止废水外排等造成水污染的行为；</w:t>
            </w:r>
          </w:p>
          <w:p w14:paraId="33183C4C">
            <w:pPr>
              <w:numPr>
                <w:ilvl w:val="0"/>
                <w:numId w:val="25"/>
              </w:numPr>
              <w:tabs>
                <w:tab w:val="left" w:pos="185"/>
              </w:tabs>
              <w:ind w:left="0" w:firstLine="0"/>
              <w:rPr>
                <w:rFonts w:asciiTheme="minorEastAsia" w:hAnsiTheme="minorEastAsia"/>
                <w:sz w:val="18"/>
                <w:szCs w:val="18"/>
              </w:rPr>
            </w:pPr>
            <w:r>
              <w:rPr>
                <w:rFonts w:hint="eastAsia" w:asciiTheme="minorEastAsia" w:hAnsiTheme="minorEastAsia"/>
                <w:sz w:val="18"/>
                <w:szCs w:val="18"/>
              </w:rPr>
              <w:t>雨水、生活污水按要求分类达标排放。</w:t>
            </w:r>
          </w:p>
        </w:tc>
        <w:tc>
          <w:tcPr>
            <w:tcW w:w="1262" w:type="dxa"/>
            <w:vMerge w:val="continue"/>
            <w:tcBorders>
              <w:left w:val="single" w:color="auto" w:sz="4" w:space="0"/>
              <w:right w:val="single" w:color="auto" w:sz="4" w:space="0"/>
            </w:tcBorders>
            <w:vAlign w:val="center"/>
          </w:tcPr>
          <w:p w14:paraId="43CE10DE">
            <w:pPr>
              <w:snapToGrid w:val="0"/>
              <w:spacing w:line="360" w:lineRule="exact"/>
              <w:jc w:val="center"/>
              <w:rPr>
                <w:rFonts w:ascii="宋体" w:hAnsi="宋体"/>
                <w:sz w:val="18"/>
                <w:szCs w:val="18"/>
              </w:rPr>
            </w:pPr>
          </w:p>
        </w:tc>
        <w:tc>
          <w:tcPr>
            <w:tcW w:w="999" w:type="dxa"/>
            <w:vMerge w:val="continue"/>
            <w:tcBorders>
              <w:left w:val="single" w:color="auto" w:sz="4" w:space="0"/>
              <w:right w:val="single" w:color="auto" w:sz="4" w:space="0"/>
            </w:tcBorders>
            <w:vAlign w:val="center"/>
          </w:tcPr>
          <w:p w14:paraId="5369E5A5">
            <w:pPr>
              <w:snapToGrid w:val="0"/>
              <w:spacing w:line="360" w:lineRule="exact"/>
              <w:jc w:val="center"/>
              <w:rPr>
                <w:rFonts w:ascii="宋体" w:hAnsi="宋体"/>
                <w:sz w:val="18"/>
                <w:szCs w:val="18"/>
              </w:rPr>
            </w:pPr>
          </w:p>
        </w:tc>
      </w:tr>
      <w:tr w14:paraId="0403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4" w:type="dxa"/>
            <w:vMerge w:val="continue"/>
            <w:tcBorders>
              <w:top w:val="single" w:color="auto" w:sz="4" w:space="0"/>
              <w:left w:val="single" w:color="auto" w:sz="4" w:space="0"/>
              <w:bottom w:val="single" w:color="auto" w:sz="4" w:space="0"/>
              <w:right w:val="single" w:color="auto" w:sz="4" w:space="0"/>
            </w:tcBorders>
            <w:vAlign w:val="center"/>
          </w:tcPr>
          <w:p w14:paraId="14E146EC">
            <w:pPr>
              <w:widowControl/>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14:paraId="216A941E">
            <w:pPr>
              <w:jc w:val="center"/>
              <w:rPr>
                <w:rFonts w:asciiTheme="minorEastAsia" w:hAnsiTheme="minorEastAsia"/>
                <w:sz w:val="18"/>
                <w:szCs w:val="18"/>
              </w:rPr>
            </w:pPr>
            <w:r>
              <w:rPr>
                <w:rFonts w:hint="eastAsia" w:asciiTheme="minorEastAsia" w:hAnsiTheme="minorEastAsia"/>
                <w:sz w:val="18"/>
                <w:szCs w:val="18"/>
              </w:rPr>
              <w:t>固废</w:t>
            </w:r>
          </w:p>
        </w:tc>
        <w:tc>
          <w:tcPr>
            <w:tcW w:w="1857" w:type="dxa"/>
            <w:vAlign w:val="center"/>
          </w:tcPr>
          <w:p w14:paraId="10C10836">
            <w:pPr>
              <w:rPr>
                <w:rFonts w:asciiTheme="minorEastAsia" w:hAnsiTheme="minorEastAsia"/>
                <w:sz w:val="18"/>
                <w:szCs w:val="18"/>
              </w:rPr>
            </w:pPr>
            <w:r>
              <w:rPr>
                <w:rFonts w:hint="eastAsia" w:asciiTheme="minorEastAsia" w:hAnsiTheme="minorEastAsia"/>
                <w:sz w:val="18"/>
                <w:szCs w:val="18"/>
              </w:rPr>
              <w:t>确保有害固废100％得到规范处置</w:t>
            </w:r>
          </w:p>
        </w:tc>
        <w:tc>
          <w:tcPr>
            <w:tcW w:w="980" w:type="dxa"/>
            <w:vMerge w:val="continue"/>
            <w:tcBorders>
              <w:top w:val="single" w:color="auto" w:sz="4" w:space="0"/>
              <w:left w:val="single" w:color="auto" w:sz="4" w:space="0"/>
              <w:bottom w:val="single" w:color="auto" w:sz="4" w:space="0"/>
              <w:right w:val="single" w:color="auto" w:sz="4" w:space="0"/>
            </w:tcBorders>
            <w:vAlign w:val="center"/>
          </w:tcPr>
          <w:p w14:paraId="5864B3C4">
            <w:pPr>
              <w:jc w:val="center"/>
              <w:rPr>
                <w:rFonts w:asciiTheme="minorEastAsia" w:hAnsiTheme="minorEastAsia"/>
                <w:sz w:val="18"/>
                <w:szCs w:val="18"/>
              </w:rPr>
            </w:pPr>
          </w:p>
        </w:tc>
        <w:tc>
          <w:tcPr>
            <w:tcW w:w="3338" w:type="dxa"/>
            <w:tcBorders>
              <w:top w:val="single" w:color="auto" w:sz="4" w:space="0"/>
              <w:left w:val="single" w:color="auto" w:sz="4" w:space="0"/>
              <w:bottom w:val="single" w:color="auto" w:sz="4" w:space="0"/>
              <w:right w:val="single" w:color="auto" w:sz="4" w:space="0"/>
            </w:tcBorders>
            <w:vAlign w:val="center"/>
          </w:tcPr>
          <w:p w14:paraId="2A51503A">
            <w:pPr>
              <w:numPr>
                <w:ilvl w:val="0"/>
                <w:numId w:val="26"/>
              </w:numPr>
              <w:tabs>
                <w:tab w:val="left" w:pos="311"/>
              </w:tabs>
              <w:ind w:left="28" w:firstLine="0"/>
              <w:rPr>
                <w:rFonts w:asciiTheme="minorEastAsia" w:hAnsiTheme="minorEastAsia"/>
                <w:sz w:val="18"/>
                <w:szCs w:val="18"/>
              </w:rPr>
            </w:pPr>
            <w:r>
              <w:rPr>
                <w:rFonts w:hint="eastAsia" w:asciiTheme="minorEastAsia" w:hAnsiTheme="minorEastAsia"/>
                <w:sz w:val="18"/>
                <w:szCs w:val="18"/>
              </w:rPr>
              <w:t>加强固废分类管理，规范有害固废存放；</w:t>
            </w:r>
          </w:p>
          <w:p w14:paraId="0C7F9BBD">
            <w:pPr>
              <w:numPr>
                <w:ilvl w:val="0"/>
                <w:numId w:val="26"/>
              </w:numPr>
              <w:tabs>
                <w:tab w:val="left" w:pos="311"/>
              </w:tabs>
              <w:ind w:left="28" w:firstLine="0"/>
              <w:rPr>
                <w:rFonts w:asciiTheme="minorEastAsia" w:hAnsiTheme="minorEastAsia"/>
                <w:sz w:val="18"/>
                <w:szCs w:val="18"/>
              </w:rPr>
            </w:pPr>
            <w:r>
              <w:rPr>
                <w:rFonts w:hint="eastAsia" w:asciiTheme="minorEastAsia" w:hAnsiTheme="minorEastAsia"/>
                <w:sz w:val="18"/>
                <w:szCs w:val="18"/>
              </w:rPr>
              <w:t>与固废处理方签订处理协议，并定期转交有害固废，实现有害固废的规范处理；</w:t>
            </w:r>
          </w:p>
        </w:tc>
        <w:tc>
          <w:tcPr>
            <w:tcW w:w="1262" w:type="dxa"/>
            <w:vMerge w:val="continue"/>
            <w:tcBorders>
              <w:top w:val="single" w:color="auto" w:sz="4" w:space="0"/>
              <w:left w:val="single" w:color="auto" w:sz="4" w:space="0"/>
              <w:bottom w:val="single" w:color="auto" w:sz="4" w:space="0"/>
              <w:right w:val="single" w:color="auto" w:sz="4" w:space="0"/>
            </w:tcBorders>
            <w:vAlign w:val="center"/>
          </w:tcPr>
          <w:p w14:paraId="16864CE6">
            <w:pPr>
              <w:snapToGrid w:val="0"/>
              <w:spacing w:line="360" w:lineRule="exact"/>
              <w:jc w:val="center"/>
              <w:rPr>
                <w:rFonts w:ascii="宋体" w:hAnsi="宋体"/>
                <w:sz w:val="18"/>
                <w:szCs w:val="18"/>
              </w:rPr>
            </w:pPr>
          </w:p>
        </w:tc>
        <w:tc>
          <w:tcPr>
            <w:tcW w:w="999" w:type="dxa"/>
            <w:vMerge w:val="continue"/>
            <w:tcBorders>
              <w:top w:val="single" w:color="auto" w:sz="4" w:space="0"/>
              <w:left w:val="single" w:color="auto" w:sz="4" w:space="0"/>
              <w:bottom w:val="single" w:color="auto" w:sz="4" w:space="0"/>
              <w:right w:val="single" w:color="auto" w:sz="4" w:space="0"/>
            </w:tcBorders>
            <w:vAlign w:val="center"/>
          </w:tcPr>
          <w:p w14:paraId="3940BF9D">
            <w:pPr>
              <w:snapToGrid w:val="0"/>
              <w:spacing w:line="360" w:lineRule="exact"/>
              <w:jc w:val="center"/>
              <w:rPr>
                <w:rFonts w:ascii="宋体" w:hAnsi="宋体"/>
                <w:sz w:val="18"/>
                <w:szCs w:val="18"/>
              </w:rPr>
            </w:pPr>
          </w:p>
        </w:tc>
      </w:tr>
      <w:tr w14:paraId="058A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Merge w:val="continue"/>
            <w:tcBorders>
              <w:top w:val="single" w:color="auto" w:sz="4" w:space="0"/>
              <w:left w:val="single" w:color="auto" w:sz="4" w:space="0"/>
              <w:bottom w:val="single" w:color="auto" w:sz="4" w:space="0"/>
              <w:right w:val="single" w:color="auto" w:sz="4" w:space="0"/>
            </w:tcBorders>
            <w:vAlign w:val="center"/>
          </w:tcPr>
          <w:p w14:paraId="1E5EC6FB">
            <w:pPr>
              <w:widowControl/>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14:paraId="35045AAF">
            <w:pPr>
              <w:jc w:val="center"/>
              <w:rPr>
                <w:rFonts w:asciiTheme="minorEastAsia" w:hAnsiTheme="minorEastAsia"/>
                <w:sz w:val="18"/>
                <w:szCs w:val="18"/>
              </w:rPr>
            </w:pPr>
            <w:r>
              <w:rPr>
                <w:rFonts w:hint="eastAsia" w:asciiTheme="minorEastAsia" w:hAnsiTheme="minorEastAsia"/>
                <w:sz w:val="18"/>
                <w:szCs w:val="18"/>
              </w:rPr>
              <w:t>噪声</w:t>
            </w:r>
          </w:p>
        </w:tc>
        <w:tc>
          <w:tcPr>
            <w:tcW w:w="1857" w:type="dxa"/>
            <w:tcBorders>
              <w:top w:val="single" w:color="auto" w:sz="4" w:space="0"/>
              <w:left w:val="single" w:color="auto" w:sz="4" w:space="0"/>
              <w:bottom w:val="single" w:color="auto" w:sz="4" w:space="0"/>
              <w:right w:val="single" w:color="auto" w:sz="4" w:space="0"/>
            </w:tcBorders>
            <w:vAlign w:val="center"/>
          </w:tcPr>
          <w:p w14:paraId="0317BAB4">
            <w:pPr>
              <w:rPr>
                <w:rFonts w:asciiTheme="minorEastAsia" w:hAnsiTheme="minorEastAsia"/>
                <w:sz w:val="18"/>
                <w:szCs w:val="18"/>
              </w:rPr>
            </w:pPr>
            <w:r>
              <w:rPr>
                <w:rFonts w:hint="eastAsia" w:asciiTheme="minorEastAsia" w:hAnsiTheme="minorEastAsia"/>
                <w:sz w:val="18"/>
                <w:szCs w:val="18"/>
              </w:rPr>
              <w:t>GB12348《工业企业厂界环境噪声排放标准》三类标准</w:t>
            </w:r>
          </w:p>
        </w:tc>
        <w:tc>
          <w:tcPr>
            <w:tcW w:w="980" w:type="dxa"/>
            <w:vMerge w:val="continue"/>
            <w:tcBorders>
              <w:top w:val="single" w:color="auto" w:sz="4" w:space="0"/>
              <w:left w:val="single" w:color="auto" w:sz="4" w:space="0"/>
              <w:bottom w:val="single" w:color="auto" w:sz="4" w:space="0"/>
              <w:right w:val="single" w:color="auto" w:sz="4" w:space="0"/>
            </w:tcBorders>
            <w:vAlign w:val="center"/>
          </w:tcPr>
          <w:p w14:paraId="406237AC">
            <w:pPr>
              <w:jc w:val="center"/>
              <w:rPr>
                <w:rFonts w:asciiTheme="minorEastAsia" w:hAnsiTheme="minorEastAsia"/>
                <w:sz w:val="18"/>
                <w:szCs w:val="18"/>
              </w:rPr>
            </w:pPr>
          </w:p>
        </w:tc>
        <w:tc>
          <w:tcPr>
            <w:tcW w:w="3338" w:type="dxa"/>
            <w:tcBorders>
              <w:top w:val="single" w:color="auto" w:sz="4" w:space="0"/>
              <w:left w:val="single" w:color="auto" w:sz="4" w:space="0"/>
              <w:bottom w:val="single" w:color="auto" w:sz="4" w:space="0"/>
              <w:right w:val="single" w:color="auto" w:sz="4" w:space="0"/>
            </w:tcBorders>
            <w:vAlign w:val="center"/>
          </w:tcPr>
          <w:p w14:paraId="12FEA8BE">
            <w:pPr>
              <w:numPr>
                <w:ilvl w:val="0"/>
                <w:numId w:val="27"/>
              </w:numPr>
              <w:tabs>
                <w:tab w:val="left" w:pos="311"/>
              </w:tabs>
              <w:ind w:left="0" w:firstLine="0"/>
              <w:rPr>
                <w:rFonts w:asciiTheme="minorEastAsia" w:hAnsiTheme="minorEastAsia"/>
                <w:sz w:val="18"/>
                <w:szCs w:val="18"/>
              </w:rPr>
            </w:pPr>
            <w:r>
              <w:rPr>
                <w:rFonts w:hint="eastAsia" w:asciiTheme="minorEastAsia" w:hAnsiTheme="minorEastAsia"/>
                <w:sz w:val="18"/>
                <w:szCs w:val="18"/>
              </w:rPr>
              <w:t>作好设备的润滑、维护、保养工作, 降低设备噪音；</w:t>
            </w:r>
          </w:p>
          <w:p w14:paraId="4E9C30AD">
            <w:pPr>
              <w:numPr>
                <w:ilvl w:val="0"/>
                <w:numId w:val="27"/>
              </w:numPr>
              <w:tabs>
                <w:tab w:val="left" w:pos="311"/>
              </w:tabs>
              <w:ind w:left="0" w:firstLine="0"/>
              <w:rPr>
                <w:rFonts w:asciiTheme="minorEastAsia" w:hAnsiTheme="minorEastAsia"/>
                <w:sz w:val="18"/>
                <w:szCs w:val="18"/>
              </w:rPr>
            </w:pPr>
            <w:r>
              <w:rPr>
                <w:rFonts w:hint="eastAsia" w:asciiTheme="minorEastAsia" w:hAnsiTheme="minorEastAsia"/>
                <w:sz w:val="18"/>
                <w:szCs w:val="18"/>
              </w:rPr>
              <w:t>作好车间门窗的修护和管理，防止破损散音。</w:t>
            </w:r>
          </w:p>
        </w:tc>
        <w:tc>
          <w:tcPr>
            <w:tcW w:w="1262" w:type="dxa"/>
            <w:vMerge w:val="continue"/>
            <w:tcBorders>
              <w:top w:val="single" w:color="auto" w:sz="4" w:space="0"/>
              <w:left w:val="single" w:color="auto" w:sz="4" w:space="0"/>
              <w:bottom w:val="single" w:color="auto" w:sz="4" w:space="0"/>
              <w:right w:val="single" w:color="auto" w:sz="4" w:space="0"/>
            </w:tcBorders>
            <w:vAlign w:val="center"/>
          </w:tcPr>
          <w:p w14:paraId="59044AC4">
            <w:pPr>
              <w:snapToGrid w:val="0"/>
              <w:spacing w:line="360" w:lineRule="exact"/>
              <w:jc w:val="center"/>
              <w:rPr>
                <w:rFonts w:ascii="宋体" w:hAnsi="宋体"/>
                <w:sz w:val="18"/>
                <w:szCs w:val="18"/>
              </w:rPr>
            </w:pPr>
          </w:p>
        </w:tc>
        <w:tc>
          <w:tcPr>
            <w:tcW w:w="999" w:type="dxa"/>
            <w:vMerge w:val="continue"/>
            <w:tcBorders>
              <w:top w:val="single" w:color="auto" w:sz="4" w:space="0"/>
              <w:left w:val="single" w:color="auto" w:sz="4" w:space="0"/>
              <w:bottom w:val="single" w:color="auto" w:sz="4" w:space="0"/>
              <w:right w:val="single" w:color="auto" w:sz="4" w:space="0"/>
            </w:tcBorders>
            <w:vAlign w:val="center"/>
          </w:tcPr>
          <w:p w14:paraId="14B52CF4">
            <w:pPr>
              <w:snapToGrid w:val="0"/>
              <w:spacing w:line="360" w:lineRule="exact"/>
              <w:jc w:val="center"/>
              <w:rPr>
                <w:rFonts w:ascii="宋体" w:hAnsi="宋体"/>
                <w:sz w:val="18"/>
                <w:szCs w:val="18"/>
              </w:rPr>
            </w:pPr>
          </w:p>
        </w:tc>
      </w:tr>
      <w:tr w14:paraId="3187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gridSpan w:val="2"/>
            <w:tcBorders>
              <w:top w:val="single" w:color="auto" w:sz="4" w:space="0"/>
              <w:left w:val="single" w:color="auto" w:sz="4" w:space="0"/>
              <w:bottom w:val="single" w:color="auto" w:sz="4" w:space="0"/>
              <w:right w:val="single" w:color="auto" w:sz="4" w:space="0"/>
            </w:tcBorders>
            <w:vAlign w:val="center"/>
          </w:tcPr>
          <w:p w14:paraId="24EFC362">
            <w:pPr>
              <w:jc w:val="center"/>
              <w:rPr>
                <w:rFonts w:asciiTheme="minorEastAsia" w:hAnsiTheme="minorEastAsia"/>
                <w:sz w:val="18"/>
                <w:szCs w:val="18"/>
              </w:rPr>
            </w:pPr>
            <w:r>
              <w:rPr>
                <w:rFonts w:asciiTheme="minorEastAsia" w:hAnsiTheme="minorEastAsia"/>
                <w:sz w:val="18"/>
                <w:szCs w:val="18"/>
              </w:rPr>
              <w:t>资源综合利用</w:t>
            </w:r>
          </w:p>
        </w:tc>
        <w:tc>
          <w:tcPr>
            <w:tcW w:w="1857" w:type="dxa"/>
            <w:tcBorders>
              <w:top w:val="single" w:color="auto" w:sz="4" w:space="0"/>
              <w:left w:val="single" w:color="auto" w:sz="4" w:space="0"/>
              <w:bottom w:val="single" w:color="auto" w:sz="4" w:space="0"/>
              <w:right w:val="single" w:color="auto" w:sz="4" w:space="0"/>
            </w:tcBorders>
            <w:vAlign w:val="center"/>
          </w:tcPr>
          <w:p w14:paraId="1D273B47">
            <w:pPr>
              <w:rPr>
                <w:rFonts w:asciiTheme="minorEastAsia" w:hAnsiTheme="minorEastAsia"/>
                <w:sz w:val="18"/>
                <w:szCs w:val="18"/>
              </w:rPr>
            </w:pPr>
            <w:r>
              <w:rPr>
                <w:rFonts w:asciiTheme="minorEastAsia" w:hAnsiTheme="minorEastAsia"/>
                <w:sz w:val="18"/>
                <w:szCs w:val="18"/>
              </w:rPr>
              <w:t>《中华人民共和国节约能源法》</w:t>
            </w:r>
          </w:p>
        </w:tc>
        <w:tc>
          <w:tcPr>
            <w:tcW w:w="980" w:type="dxa"/>
            <w:tcBorders>
              <w:top w:val="single" w:color="auto" w:sz="4" w:space="0"/>
              <w:left w:val="single" w:color="auto" w:sz="4" w:space="0"/>
              <w:bottom w:val="single" w:color="auto" w:sz="4" w:space="0"/>
              <w:right w:val="single" w:color="auto" w:sz="4" w:space="0"/>
            </w:tcBorders>
            <w:vAlign w:val="center"/>
          </w:tcPr>
          <w:p w14:paraId="0519E0DF">
            <w:pPr>
              <w:jc w:val="left"/>
              <w:rPr>
                <w:rFonts w:asciiTheme="minorEastAsia" w:hAnsiTheme="minorEastAsia"/>
                <w:sz w:val="18"/>
                <w:szCs w:val="18"/>
              </w:rPr>
            </w:pPr>
            <w:r>
              <w:rPr>
                <w:rFonts w:asciiTheme="minorEastAsia" w:hAnsiTheme="minorEastAsia"/>
                <w:sz w:val="18"/>
                <w:szCs w:val="18"/>
              </w:rPr>
              <w:t>万元产值综合能耗</w:t>
            </w:r>
          </w:p>
        </w:tc>
        <w:tc>
          <w:tcPr>
            <w:tcW w:w="3338" w:type="dxa"/>
            <w:tcBorders>
              <w:top w:val="single" w:color="auto" w:sz="4" w:space="0"/>
              <w:left w:val="single" w:color="auto" w:sz="4" w:space="0"/>
              <w:bottom w:val="single" w:color="auto" w:sz="4" w:space="0"/>
              <w:right w:val="single" w:color="auto" w:sz="4" w:space="0"/>
            </w:tcBorders>
            <w:vAlign w:val="center"/>
          </w:tcPr>
          <w:p w14:paraId="4CD488D4">
            <w:pPr>
              <w:rPr>
                <w:rFonts w:asciiTheme="minorEastAsia" w:hAnsiTheme="minorEastAsia"/>
                <w:sz w:val="18"/>
                <w:szCs w:val="18"/>
              </w:rPr>
            </w:pPr>
            <w:r>
              <w:rPr>
                <w:rFonts w:asciiTheme="minorEastAsia" w:hAnsiTheme="minorEastAsia"/>
                <w:sz w:val="18"/>
                <w:szCs w:val="18"/>
              </w:rPr>
              <w:t>采用节能设备、推广节能产品</w:t>
            </w:r>
          </w:p>
        </w:tc>
        <w:tc>
          <w:tcPr>
            <w:tcW w:w="1262" w:type="dxa"/>
            <w:tcBorders>
              <w:top w:val="single" w:color="auto" w:sz="4" w:space="0"/>
              <w:left w:val="single" w:color="auto" w:sz="4" w:space="0"/>
              <w:bottom w:val="single" w:color="auto" w:sz="4" w:space="0"/>
              <w:right w:val="single" w:color="auto" w:sz="4" w:space="0"/>
            </w:tcBorders>
            <w:vAlign w:val="center"/>
          </w:tcPr>
          <w:p w14:paraId="1092013D">
            <w:pPr>
              <w:rPr>
                <w:rFonts w:asciiTheme="minorEastAsia" w:hAnsiTheme="minorEastAsia"/>
                <w:sz w:val="18"/>
                <w:szCs w:val="18"/>
              </w:rPr>
            </w:pPr>
            <w:r>
              <w:rPr>
                <w:rFonts w:asciiTheme="minorEastAsia" w:hAnsiTheme="minorEastAsia"/>
                <w:sz w:val="18"/>
                <w:szCs w:val="18"/>
              </w:rPr>
              <w:t>根据每月的产能计算单位产品的用电量、用水量</w:t>
            </w:r>
          </w:p>
        </w:tc>
        <w:tc>
          <w:tcPr>
            <w:tcW w:w="999" w:type="dxa"/>
            <w:tcBorders>
              <w:top w:val="single" w:color="auto" w:sz="4" w:space="0"/>
              <w:left w:val="single" w:color="auto" w:sz="4" w:space="0"/>
              <w:bottom w:val="single" w:color="auto" w:sz="4" w:space="0"/>
              <w:right w:val="single" w:color="auto" w:sz="4" w:space="0"/>
            </w:tcBorders>
            <w:vAlign w:val="center"/>
          </w:tcPr>
          <w:p w14:paraId="4C463AEE">
            <w:pPr>
              <w:rPr>
                <w:rFonts w:asciiTheme="minorEastAsia" w:hAnsiTheme="minorEastAsia"/>
                <w:sz w:val="18"/>
                <w:szCs w:val="18"/>
              </w:rPr>
            </w:pPr>
            <w:r>
              <w:rPr>
                <w:rFonts w:hint="eastAsia" w:asciiTheme="minorEastAsia" w:hAnsiTheme="minorEastAsia"/>
                <w:sz w:val="18"/>
                <w:szCs w:val="18"/>
              </w:rPr>
              <w:t xml:space="preserve">办公室 </w:t>
            </w:r>
          </w:p>
          <w:p w14:paraId="3D4F9806">
            <w:pPr>
              <w:jc w:val="center"/>
              <w:rPr>
                <w:rFonts w:asciiTheme="minorEastAsia" w:hAnsiTheme="minorEastAsia"/>
                <w:sz w:val="18"/>
                <w:szCs w:val="18"/>
              </w:rPr>
            </w:pPr>
            <w:r>
              <w:rPr>
                <w:rFonts w:hint="eastAsia" w:asciiTheme="minorEastAsia" w:hAnsiTheme="minorEastAsia"/>
                <w:sz w:val="18"/>
                <w:szCs w:val="18"/>
              </w:rPr>
              <w:t>生产部</w:t>
            </w:r>
          </w:p>
        </w:tc>
      </w:tr>
      <w:tr w14:paraId="10C0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909" w:type="dxa"/>
            <w:gridSpan w:val="2"/>
            <w:tcBorders>
              <w:top w:val="single" w:color="auto" w:sz="4" w:space="0"/>
              <w:left w:val="single" w:color="auto" w:sz="4" w:space="0"/>
              <w:bottom w:val="single" w:color="auto" w:sz="4" w:space="0"/>
              <w:right w:val="single" w:color="auto" w:sz="4" w:space="0"/>
            </w:tcBorders>
            <w:vAlign w:val="center"/>
          </w:tcPr>
          <w:p w14:paraId="480EEBD1">
            <w:pPr>
              <w:jc w:val="center"/>
              <w:rPr>
                <w:rFonts w:asciiTheme="minorEastAsia" w:hAnsiTheme="minorEastAsia"/>
                <w:sz w:val="18"/>
                <w:szCs w:val="18"/>
              </w:rPr>
            </w:pPr>
            <w:r>
              <w:rPr>
                <w:rFonts w:asciiTheme="minorEastAsia" w:hAnsiTheme="minorEastAsia"/>
                <w:sz w:val="18"/>
                <w:szCs w:val="18"/>
              </w:rPr>
              <w:t>安全</w:t>
            </w:r>
          </w:p>
          <w:p w14:paraId="7F7987C4">
            <w:pPr>
              <w:jc w:val="center"/>
              <w:rPr>
                <w:rFonts w:asciiTheme="minorEastAsia" w:hAnsiTheme="minorEastAsia"/>
                <w:sz w:val="18"/>
                <w:szCs w:val="18"/>
              </w:rPr>
            </w:pPr>
            <w:r>
              <w:rPr>
                <w:rFonts w:asciiTheme="minorEastAsia" w:hAnsiTheme="minorEastAsia"/>
                <w:sz w:val="18"/>
                <w:szCs w:val="18"/>
              </w:rPr>
              <w:t>生产</w:t>
            </w:r>
          </w:p>
        </w:tc>
        <w:tc>
          <w:tcPr>
            <w:tcW w:w="1857" w:type="dxa"/>
            <w:tcBorders>
              <w:top w:val="single" w:color="auto" w:sz="4" w:space="0"/>
              <w:left w:val="single" w:color="auto" w:sz="4" w:space="0"/>
              <w:bottom w:val="single" w:color="auto" w:sz="4" w:space="0"/>
              <w:right w:val="single" w:color="auto" w:sz="4" w:space="0"/>
            </w:tcBorders>
            <w:vAlign w:val="center"/>
          </w:tcPr>
          <w:p w14:paraId="745A580C">
            <w:pPr>
              <w:rPr>
                <w:rFonts w:asciiTheme="minorEastAsia" w:hAnsiTheme="minorEastAsia"/>
                <w:sz w:val="18"/>
                <w:szCs w:val="18"/>
              </w:rPr>
            </w:pPr>
            <w:r>
              <w:rPr>
                <w:rFonts w:asciiTheme="minorEastAsia" w:hAnsiTheme="minorEastAsia"/>
                <w:sz w:val="18"/>
                <w:szCs w:val="18"/>
              </w:rPr>
              <w:t>《中华人民共和国安全生产法》</w:t>
            </w:r>
          </w:p>
        </w:tc>
        <w:tc>
          <w:tcPr>
            <w:tcW w:w="980" w:type="dxa"/>
            <w:tcBorders>
              <w:top w:val="single" w:color="auto" w:sz="4" w:space="0"/>
              <w:left w:val="single" w:color="auto" w:sz="4" w:space="0"/>
              <w:bottom w:val="single" w:color="auto" w:sz="4" w:space="0"/>
              <w:right w:val="single" w:color="auto" w:sz="4" w:space="0"/>
            </w:tcBorders>
            <w:vAlign w:val="center"/>
          </w:tcPr>
          <w:p w14:paraId="48F0A94A">
            <w:pPr>
              <w:jc w:val="center"/>
              <w:rPr>
                <w:rFonts w:asciiTheme="minorEastAsia" w:hAnsiTheme="minorEastAsia"/>
                <w:sz w:val="18"/>
                <w:szCs w:val="18"/>
              </w:rPr>
            </w:pPr>
            <w:r>
              <w:rPr>
                <w:rFonts w:asciiTheme="minorEastAsia" w:hAnsiTheme="minorEastAsia"/>
                <w:sz w:val="18"/>
                <w:szCs w:val="18"/>
              </w:rPr>
              <w:t>工伤</w:t>
            </w:r>
          </w:p>
          <w:p w14:paraId="539B4922">
            <w:pPr>
              <w:jc w:val="center"/>
              <w:rPr>
                <w:rFonts w:asciiTheme="minorEastAsia" w:hAnsiTheme="minorEastAsia"/>
                <w:sz w:val="18"/>
                <w:szCs w:val="18"/>
              </w:rPr>
            </w:pPr>
            <w:r>
              <w:rPr>
                <w:rFonts w:asciiTheme="minorEastAsia" w:hAnsiTheme="minorEastAsia"/>
                <w:sz w:val="18"/>
                <w:szCs w:val="18"/>
              </w:rPr>
              <w:t>事故</w:t>
            </w:r>
          </w:p>
          <w:p w14:paraId="0751819C">
            <w:pPr>
              <w:jc w:val="center"/>
              <w:rPr>
                <w:rFonts w:asciiTheme="minorEastAsia" w:hAnsiTheme="minorEastAsia"/>
                <w:sz w:val="18"/>
                <w:szCs w:val="18"/>
              </w:rPr>
            </w:pPr>
            <w:r>
              <w:rPr>
                <w:rFonts w:asciiTheme="minorEastAsia" w:hAnsiTheme="minorEastAsia"/>
                <w:sz w:val="18"/>
                <w:szCs w:val="18"/>
              </w:rPr>
              <w:t>次数</w:t>
            </w:r>
          </w:p>
        </w:tc>
        <w:tc>
          <w:tcPr>
            <w:tcW w:w="3338" w:type="dxa"/>
            <w:tcBorders>
              <w:top w:val="single" w:color="auto" w:sz="4" w:space="0"/>
              <w:left w:val="single" w:color="auto" w:sz="4" w:space="0"/>
              <w:bottom w:val="single" w:color="auto" w:sz="4" w:space="0"/>
              <w:right w:val="single" w:color="auto" w:sz="4" w:space="0"/>
            </w:tcBorders>
            <w:vAlign w:val="center"/>
          </w:tcPr>
          <w:p w14:paraId="5CE5F27F">
            <w:pPr>
              <w:rPr>
                <w:rFonts w:asciiTheme="minorEastAsia" w:hAnsiTheme="minorEastAsia"/>
                <w:sz w:val="18"/>
                <w:szCs w:val="18"/>
              </w:rPr>
            </w:pPr>
            <w:r>
              <w:rPr>
                <w:rFonts w:asciiTheme="minorEastAsia" w:hAnsiTheme="minorEastAsia"/>
                <w:sz w:val="18"/>
                <w:szCs w:val="18"/>
              </w:rPr>
              <w:t>员工岗前培训、安全使用工具制度、操作规程、机械设备操作和维护管理制度、安全生产检查制度、安全生产职责与权限管理制度、应急预案</w:t>
            </w:r>
          </w:p>
        </w:tc>
        <w:tc>
          <w:tcPr>
            <w:tcW w:w="1262" w:type="dxa"/>
            <w:tcBorders>
              <w:top w:val="single" w:color="auto" w:sz="4" w:space="0"/>
              <w:left w:val="single" w:color="auto" w:sz="4" w:space="0"/>
              <w:bottom w:val="single" w:color="auto" w:sz="4" w:space="0"/>
              <w:right w:val="single" w:color="auto" w:sz="4" w:space="0"/>
            </w:tcBorders>
            <w:vAlign w:val="center"/>
          </w:tcPr>
          <w:p w14:paraId="7C94CE25">
            <w:pPr>
              <w:rPr>
                <w:rFonts w:asciiTheme="minorEastAsia" w:hAnsiTheme="minorEastAsia"/>
                <w:sz w:val="18"/>
                <w:szCs w:val="18"/>
              </w:rPr>
            </w:pPr>
            <w:r>
              <w:rPr>
                <w:rFonts w:asciiTheme="minorEastAsia" w:hAnsiTheme="minorEastAsia"/>
                <w:sz w:val="18"/>
                <w:szCs w:val="18"/>
              </w:rPr>
              <w:t>内部统计</w:t>
            </w:r>
          </w:p>
        </w:tc>
        <w:tc>
          <w:tcPr>
            <w:tcW w:w="999" w:type="dxa"/>
            <w:tcBorders>
              <w:top w:val="single" w:color="auto" w:sz="4" w:space="0"/>
              <w:left w:val="single" w:color="auto" w:sz="4" w:space="0"/>
              <w:bottom w:val="single" w:color="auto" w:sz="4" w:space="0"/>
              <w:right w:val="single" w:color="auto" w:sz="4" w:space="0"/>
            </w:tcBorders>
            <w:vAlign w:val="center"/>
          </w:tcPr>
          <w:p w14:paraId="73B563BD">
            <w:pPr>
              <w:jc w:val="center"/>
              <w:rPr>
                <w:rFonts w:asciiTheme="minorEastAsia" w:hAnsiTheme="minorEastAsia"/>
                <w:sz w:val="18"/>
                <w:szCs w:val="18"/>
              </w:rPr>
            </w:pPr>
            <w:r>
              <w:rPr>
                <w:rFonts w:hint="eastAsia" w:asciiTheme="minorEastAsia" w:hAnsiTheme="minorEastAsia"/>
                <w:sz w:val="18"/>
                <w:szCs w:val="18"/>
              </w:rPr>
              <w:t>办公室</w:t>
            </w:r>
          </w:p>
        </w:tc>
      </w:tr>
      <w:tr w14:paraId="59F6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gridSpan w:val="2"/>
            <w:tcBorders>
              <w:top w:val="single" w:color="auto" w:sz="4" w:space="0"/>
              <w:left w:val="single" w:color="auto" w:sz="4" w:space="0"/>
              <w:bottom w:val="single" w:color="auto" w:sz="4" w:space="0"/>
              <w:right w:val="single" w:color="auto" w:sz="4" w:space="0"/>
            </w:tcBorders>
            <w:vAlign w:val="center"/>
          </w:tcPr>
          <w:p w14:paraId="3B267D4F">
            <w:pPr>
              <w:jc w:val="center"/>
              <w:rPr>
                <w:rFonts w:asciiTheme="minorEastAsia" w:hAnsiTheme="minorEastAsia"/>
                <w:sz w:val="18"/>
                <w:szCs w:val="18"/>
              </w:rPr>
            </w:pPr>
            <w:r>
              <w:rPr>
                <w:rFonts w:asciiTheme="minorEastAsia" w:hAnsiTheme="minorEastAsia"/>
                <w:sz w:val="18"/>
                <w:szCs w:val="18"/>
              </w:rPr>
              <w:t>公共</w:t>
            </w:r>
          </w:p>
          <w:p w14:paraId="4EA21B43">
            <w:pPr>
              <w:jc w:val="center"/>
              <w:rPr>
                <w:rFonts w:asciiTheme="minorEastAsia" w:hAnsiTheme="minorEastAsia"/>
                <w:sz w:val="18"/>
                <w:szCs w:val="18"/>
              </w:rPr>
            </w:pPr>
            <w:r>
              <w:rPr>
                <w:rFonts w:asciiTheme="minorEastAsia" w:hAnsiTheme="minorEastAsia"/>
                <w:sz w:val="18"/>
                <w:szCs w:val="18"/>
              </w:rPr>
              <w:t>卫生</w:t>
            </w:r>
          </w:p>
        </w:tc>
        <w:tc>
          <w:tcPr>
            <w:tcW w:w="1857" w:type="dxa"/>
            <w:tcBorders>
              <w:top w:val="single" w:color="auto" w:sz="4" w:space="0"/>
              <w:left w:val="single" w:color="auto" w:sz="4" w:space="0"/>
              <w:bottom w:val="single" w:color="auto" w:sz="4" w:space="0"/>
              <w:right w:val="single" w:color="auto" w:sz="4" w:space="0"/>
            </w:tcBorders>
            <w:vAlign w:val="center"/>
          </w:tcPr>
          <w:p w14:paraId="3BFCB1D5">
            <w:pPr>
              <w:rPr>
                <w:rFonts w:asciiTheme="minorEastAsia" w:hAnsiTheme="minorEastAsia"/>
                <w:sz w:val="18"/>
                <w:szCs w:val="18"/>
              </w:rPr>
            </w:pPr>
            <w:r>
              <w:rPr>
                <w:rFonts w:hint="eastAsia" w:asciiTheme="minorEastAsia" w:hAnsiTheme="minorEastAsia"/>
                <w:sz w:val="18"/>
                <w:szCs w:val="18"/>
              </w:rPr>
              <w:t>确保有害固废100％得到规范处置</w:t>
            </w:r>
          </w:p>
        </w:tc>
        <w:tc>
          <w:tcPr>
            <w:tcW w:w="980" w:type="dxa"/>
            <w:tcBorders>
              <w:top w:val="single" w:color="auto" w:sz="4" w:space="0"/>
              <w:left w:val="single" w:color="auto" w:sz="4" w:space="0"/>
              <w:bottom w:val="single" w:color="auto" w:sz="4" w:space="0"/>
              <w:right w:val="single" w:color="auto" w:sz="4" w:space="0"/>
            </w:tcBorders>
            <w:vAlign w:val="center"/>
          </w:tcPr>
          <w:p w14:paraId="683EFFB5">
            <w:pPr>
              <w:jc w:val="left"/>
              <w:rPr>
                <w:rFonts w:asciiTheme="minorEastAsia" w:hAnsiTheme="minorEastAsia"/>
                <w:sz w:val="18"/>
                <w:szCs w:val="18"/>
              </w:rPr>
            </w:pPr>
            <w:r>
              <w:rPr>
                <w:rFonts w:asciiTheme="minorEastAsia" w:hAnsiTheme="minorEastAsia"/>
                <w:sz w:val="18"/>
                <w:szCs w:val="18"/>
              </w:rPr>
              <w:t>危废处理及时率</w:t>
            </w:r>
          </w:p>
        </w:tc>
        <w:tc>
          <w:tcPr>
            <w:tcW w:w="3338" w:type="dxa"/>
            <w:tcBorders>
              <w:top w:val="single" w:color="auto" w:sz="4" w:space="0"/>
              <w:left w:val="single" w:color="auto" w:sz="4" w:space="0"/>
              <w:bottom w:val="single" w:color="auto" w:sz="4" w:space="0"/>
              <w:right w:val="single" w:color="auto" w:sz="4" w:space="0"/>
            </w:tcBorders>
            <w:vAlign w:val="center"/>
          </w:tcPr>
          <w:p w14:paraId="53E4BFF5">
            <w:pPr>
              <w:rPr>
                <w:rFonts w:asciiTheme="minorEastAsia" w:hAnsiTheme="minorEastAsia"/>
                <w:sz w:val="18"/>
                <w:szCs w:val="18"/>
              </w:rPr>
            </w:pPr>
            <w:r>
              <w:rPr>
                <w:rFonts w:asciiTheme="minorEastAsia" w:hAnsiTheme="minorEastAsia"/>
                <w:sz w:val="18"/>
                <w:szCs w:val="18"/>
              </w:rPr>
              <w:t>垃圾分类处理，严格执行环境保护制度</w:t>
            </w:r>
          </w:p>
        </w:tc>
        <w:tc>
          <w:tcPr>
            <w:tcW w:w="1262" w:type="dxa"/>
            <w:tcBorders>
              <w:top w:val="single" w:color="auto" w:sz="4" w:space="0"/>
              <w:left w:val="single" w:color="auto" w:sz="4" w:space="0"/>
              <w:bottom w:val="single" w:color="auto" w:sz="4" w:space="0"/>
              <w:right w:val="single" w:color="auto" w:sz="4" w:space="0"/>
            </w:tcBorders>
            <w:vAlign w:val="center"/>
          </w:tcPr>
          <w:p w14:paraId="09A507DA">
            <w:pPr>
              <w:rPr>
                <w:rFonts w:asciiTheme="minorEastAsia" w:hAnsiTheme="minorEastAsia"/>
                <w:sz w:val="18"/>
                <w:szCs w:val="18"/>
              </w:rPr>
            </w:pPr>
            <w:r>
              <w:rPr>
                <w:rFonts w:asciiTheme="minorEastAsia" w:hAnsiTheme="minorEastAsia"/>
                <w:sz w:val="18"/>
                <w:szCs w:val="18"/>
              </w:rPr>
              <w:t>委托外部资质机构转移</w:t>
            </w:r>
          </w:p>
        </w:tc>
        <w:tc>
          <w:tcPr>
            <w:tcW w:w="999" w:type="dxa"/>
            <w:tcBorders>
              <w:top w:val="single" w:color="auto" w:sz="4" w:space="0"/>
              <w:left w:val="single" w:color="auto" w:sz="4" w:space="0"/>
              <w:bottom w:val="single" w:color="auto" w:sz="4" w:space="0"/>
              <w:right w:val="single" w:color="auto" w:sz="4" w:space="0"/>
            </w:tcBorders>
            <w:vAlign w:val="center"/>
          </w:tcPr>
          <w:p w14:paraId="1B2AF49D">
            <w:pPr>
              <w:jc w:val="center"/>
              <w:rPr>
                <w:rFonts w:asciiTheme="minorEastAsia" w:hAnsiTheme="minorEastAsia"/>
                <w:sz w:val="18"/>
                <w:szCs w:val="18"/>
              </w:rPr>
            </w:pPr>
            <w:r>
              <w:rPr>
                <w:rFonts w:hint="eastAsia" w:asciiTheme="minorEastAsia" w:hAnsiTheme="minorEastAsia"/>
                <w:sz w:val="18"/>
                <w:szCs w:val="18"/>
              </w:rPr>
              <w:t>办公室</w:t>
            </w:r>
          </w:p>
        </w:tc>
      </w:tr>
    </w:tbl>
    <w:p w14:paraId="708664F4">
      <w:pPr>
        <w:pStyle w:val="3"/>
        <w:numPr>
          <w:ilvl w:val="0"/>
          <w:numId w:val="23"/>
        </w:numPr>
        <w:spacing w:before="0" w:after="0" w:line="300" w:lineRule="auto"/>
        <w:rPr>
          <w:sz w:val="28"/>
          <w:szCs w:val="28"/>
        </w:rPr>
      </w:pPr>
      <w:bookmarkStart w:id="46" w:name="_Toc47951677"/>
      <w:r>
        <w:rPr>
          <w:rFonts w:hint="eastAsia"/>
          <w:sz w:val="28"/>
          <w:szCs w:val="28"/>
        </w:rPr>
        <w:t>道德行为</w:t>
      </w:r>
      <w:bookmarkEnd w:id="46"/>
    </w:p>
    <w:p w14:paraId="6EDBE990">
      <w:pPr>
        <w:spacing w:line="300" w:lineRule="auto"/>
        <w:ind w:firstLine="480" w:firstLineChars="200"/>
        <w:rPr>
          <w:rFonts w:ascii="宋体" w:hAnsi="宋体"/>
          <w:sz w:val="24"/>
          <w:szCs w:val="24"/>
        </w:rPr>
      </w:pPr>
      <w:r>
        <w:rPr>
          <w:rFonts w:hint="eastAsia" w:ascii="宋体" w:hAnsi="宋体"/>
          <w:sz w:val="24"/>
          <w:szCs w:val="24"/>
        </w:rPr>
        <w:t>公司高层领导高度重视企业的经营道德，建立道德行为监测体系，高标准要求遵守法律法规，严肃风纪，实施“以德治企”的方针。开展社会公德教育，提高员工的道德水平和行为规范，创建廉洁高效的和谐环境。开展廉洁风险点排查。道德行为测量及监控详见表7。</w:t>
      </w:r>
    </w:p>
    <w:p w14:paraId="059C1C26">
      <w:pPr>
        <w:widowControl/>
        <w:spacing w:line="300" w:lineRule="auto"/>
        <w:ind w:firstLine="422" w:firstLineChars="200"/>
        <w:jc w:val="left"/>
        <w:rPr>
          <w:rFonts w:ascii="宋体" w:hAnsi="宋体"/>
          <w:b/>
          <w:szCs w:val="21"/>
        </w:rPr>
      </w:pPr>
      <w:r>
        <w:rPr>
          <w:rFonts w:hint="eastAsia" w:ascii="宋体" w:hAnsi="宋体"/>
          <w:b/>
          <w:szCs w:val="21"/>
        </w:rPr>
        <w:t>表7                         道德行为测量及监控</w:t>
      </w:r>
    </w:p>
    <w:tbl>
      <w:tblPr>
        <w:tblStyle w:val="17"/>
        <w:tblW w:w="48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81"/>
        <w:gridCol w:w="1366"/>
        <w:gridCol w:w="1697"/>
        <w:gridCol w:w="1852"/>
        <w:gridCol w:w="2684"/>
      </w:tblGrid>
      <w:tr w14:paraId="0903E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08165">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监督对象</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0E43F">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监测过程</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11595">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监督部门</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5E705">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测量方法</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C8841">
            <w:pPr>
              <w:pStyle w:val="61"/>
              <w:adjustRightInd w:val="0"/>
              <w:snapToGrid w:val="0"/>
              <w:spacing w:before="78" w:beforeLines="25" w:after="78" w:afterLines="25"/>
              <w:ind w:firstLine="0" w:firstLineChars="0"/>
              <w:jc w:val="center"/>
              <w:rPr>
                <w:rFonts w:ascii="宋体" w:hAnsi="宋体" w:cs="微软雅黑"/>
                <w:b/>
                <w:bCs/>
                <w:szCs w:val="21"/>
              </w:rPr>
            </w:pPr>
            <w:r>
              <w:rPr>
                <w:rFonts w:hint="eastAsia" w:ascii="宋体" w:hAnsi="宋体" w:cs="微软雅黑"/>
                <w:b/>
                <w:bCs/>
                <w:szCs w:val="21"/>
              </w:rPr>
              <w:t>测量指标</w:t>
            </w:r>
          </w:p>
        </w:tc>
      </w:tr>
      <w:tr w14:paraId="50875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815" w:type="pct"/>
            <w:tcBorders>
              <w:top w:val="single" w:color="000000" w:sz="4" w:space="0"/>
              <w:left w:val="single" w:color="000000" w:sz="4" w:space="0"/>
              <w:bottom w:val="single" w:color="000000" w:sz="4" w:space="0"/>
              <w:right w:val="single" w:color="000000" w:sz="4" w:space="0"/>
            </w:tcBorders>
            <w:vAlign w:val="center"/>
          </w:tcPr>
          <w:p w14:paraId="76949787">
            <w:pPr>
              <w:jc w:val="center"/>
              <w:rPr>
                <w:rFonts w:asciiTheme="minorEastAsia" w:hAnsiTheme="minorEastAsia"/>
                <w:sz w:val="18"/>
                <w:szCs w:val="18"/>
              </w:rPr>
            </w:pPr>
            <w:r>
              <w:rPr>
                <w:rFonts w:hint="eastAsia" w:asciiTheme="minorEastAsia" w:hAnsiTheme="minorEastAsia"/>
                <w:sz w:val="18"/>
                <w:szCs w:val="18"/>
              </w:rPr>
              <w:t>高层</w:t>
            </w:r>
          </w:p>
        </w:tc>
        <w:tc>
          <w:tcPr>
            <w:tcW w:w="752" w:type="pct"/>
            <w:tcBorders>
              <w:top w:val="single" w:color="000000" w:sz="4" w:space="0"/>
              <w:left w:val="single" w:color="000000" w:sz="4" w:space="0"/>
              <w:bottom w:val="single" w:color="000000" w:sz="4" w:space="0"/>
              <w:right w:val="single" w:color="000000" w:sz="4" w:space="0"/>
            </w:tcBorders>
            <w:vAlign w:val="center"/>
          </w:tcPr>
          <w:p w14:paraId="3D861C9D">
            <w:pPr>
              <w:jc w:val="center"/>
              <w:rPr>
                <w:rFonts w:asciiTheme="minorEastAsia" w:hAnsiTheme="minorEastAsia"/>
                <w:sz w:val="18"/>
                <w:szCs w:val="18"/>
              </w:rPr>
            </w:pPr>
            <w:r>
              <w:rPr>
                <w:rFonts w:hint="eastAsia" w:asciiTheme="minorEastAsia" w:hAnsiTheme="minorEastAsia"/>
                <w:sz w:val="18"/>
                <w:szCs w:val="18"/>
              </w:rPr>
              <w:t>廉政建设</w:t>
            </w:r>
          </w:p>
        </w:tc>
        <w:tc>
          <w:tcPr>
            <w:tcW w:w="934" w:type="pct"/>
            <w:tcBorders>
              <w:top w:val="single" w:color="000000" w:sz="4" w:space="0"/>
              <w:left w:val="single" w:color="000000" w:sz="4" w:space="0"/>
              <w:bottom w:val="single" w:color="000000" w:sz="4" w:space="0"/>
              <w:right w:val="single" w:color="000000" w:sz="4" w:space="0"/>
            </w:tcBorders>
            <w:vAlign w:val="center"/>
          </w:tcPr>
          <w:p w14:paraId="5D049590">
            <w:pPr>
              <w:jc w:val="center"/>
              <w:rPr>
                <w:rFonts w:asciiTheme="minorEastAsia" w:hAnsiTheme="minorEastAsia"/>
                <w:sz w:val="18"/>
                <w:szCs w:val="18"/>
              </w:rPr>
            </w:pPr>
            <w:r>
              <w:rPr>
                <w:rFonts w:hint="eastAsia" w:asciiTheme="minorEastAsia" w:hAnsiTheme="minorEastAsia"/>
                <w:sz w:val="18"/>
                <w:szCs w:val="18"/>
              </w:rPr>
              <w:t>上级主管部门职工代表大会</w:t>
            </w:r>
          </w:p>
        </w:tc>
        <w:tc>
          <w:tcPr>
            <w:tcW w:w="1019" w:type="pct"/>
            <w:tcBorders>
              <w:top w:val="single" w:color="000000" w:sz="4" w:space="0"/>
              <w:left w:val="single" w:color="000000" w:sz="4" w:space="0"/>
              <w:bottom w:val="single" w:color="000000" w:sz="4" w:space="0"/>
              <w:right w:val="single" w:color="000000" w:sz="4" w:space="0"/>
            </w:tcBorders>
            <w:vAlign w:val="center"/>
          </w:tcPr>
          <w:p w14:paraId="13EAB00C">
            <w:pPr>
              <w:jc w:val="center"/>
              <w:rPr>
                <w:rFonts w:asciiTheme="minorEastAsia" w:hAnsiTheme="minorEastAsia"/>
                <w:sz w:val="18"/>
                <w:szCs w:val="18"/>
              </w:rPr>
            </w:pPr>
            <w:r>
              <w:rPr>
                <w:rFonts w:hint="eastAsia" w:asciiTheme="minorEastAsia" w:hAnsiTheme="minorEastAsia"/>
                <w:sz w:val="18"/>
                <w:szCs w:val="18"/>
              </w:rPr>
              <w:t>投诉举报</w:t>
            </w:r>
          </w:p>
        </w:tc>
        <w:tc>
          <w:tcPr>
            <w:tcW w:w="1477" w:type="pct"/>
            <w:tcBorders>
              <w:top w:val="single" w:color="000000" w:sz="4" w:space="0"/>
              <w:left w:val="single" w:color="000000" w:sz="4" w:space="0"/>
              <w:bottom w:val="single" w:color="000000" w:sz="4" w:space="0"/>
              <w:right w:val="single" w:color="000000" w:sz="4" w:space="0"/>
            </w:tcBorders>
            <w:vAlign w:val="center"/>
          </w:tcPr>
          <w:p w14:paraId="2D708411">
            <w:pPr>
              <w:jc w:val="center"/>
              <w:rPr>
                <w:rFonts w:asciiTheme="minorEastAsia" w:hAnsiTheme="minorEastAsia"/>
                <w:sz w:val="18"/>
                <w:szCs w:val="18"/>
              </w:rPr>
            </w:pPr>
            <w:r>
              <w:rPr>
                <w:rFonts w:hint="eastAsia" w:asciiTheme="minorEastAsia" w:hAnsiTheme="minorEastAsia"/>
                <w:sz w:val="18"/>
                <w:szCs w:val="18"/>
              </w:rPr>
              <w:t>违纪违法事件为零</w:t>
            </w:r>
          </w:p>
        </w:tc>
      </w:tr>
      <w:tr w14:paraId="28CD6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815" w:type="pct"/>
            <w:vMerge w:val="restart"/>
            <w:tcBorders>
              <w:top w:val="single" w:color="000000" w:sz="4" w:space="0"/>
              <w:left w:val="single" w:color="000000" w:sz="4" w:space="0"/>
              <w:bottom w:val="single" w:color="000000" w:sz="4" w:space="0"/>
              <w:right w:val="single" w:color="000000" w:sz="4" w:space="0"/>
            </w:tcBorders>
            <w:vAlign w:val="center"/>
          </w:tcPr>
          <w:p w14:paraId="729B0860">
            <w:pPr>
              <w:jc w:val="center"/>
              <w:rPr>
                <w:rFonts w:asciiTheme="minorEastAsia" w:hAnsiTheme="minorEastAsia"/>
                <w:sz w:val="18"/>
                <w:szCs w:val="18"/>
              </w:rPr>
            </w:pPr>
            <w:r>
              <w:rPr>
                <w:rFonts w:hint="eastAsia" w:asciiTheme="minorEastAsia" w:hAnsiTheme="minorEastAsia"/>
                <w:sz w:val="18"/>
                <w:szCs w:val="18"/>
              </w:rPr>
              <w:t>中层干部及职能部门</w:t>
            </w:r>
          </w:p>
        </w:tc>
        <w:tc>
          <w:tcPr>
            <w:tcW w:w="752" w:type="pct"/>
            <w:vMerge w:val="restart"/>
            <w:tcBorders>
              <w:top w:val="single" w:color="000000" w:sz="4" w:space="0"/>
              <w:left w:val="single" w:color="000000" w:sz="4" w:space="0"/>
              <w:bottom w:val="single" w:color="000000" w:sz="4" w:space="0"/>
              <w:right w:val="single" w:color="000000" w:sz="4" w:space="0"/>
            </w:tcBorders>
            <w:vAlign w:val="center"/>
          </w:tcPr>
          <w:p w14:paraId="409D3187">
            <w:pPr>
              <w:jc w:val="center"/>
              <w:rPr>
                <w:rFonts w:asciiTheme="minorEastAsia" w:hAnsiTheme="minorEastAsia"/>
                <w:sz w:val="18"/>
                <w:szCs w:val="18"/>
              </w:rPr>
            </w:pPr>
            <w:r>
              <w:rPr>
                <w:rFonts w:hint="eastAsia" w:asciiTheme="minorEastAsia" w:hAnsiTheme="minorEastAsia"/>
                <w:sz w:val="18"/>
                <w:szCs w:val="18"/>
              </w:rPr>
              <w:t>管理行为的公正性</w:t>
            </w:r>
          </w:p>
        </w:tc>
        <w:tc>
          <w:tcPr>
            <w:tcW w:w="934" w:type="pct"/>
            <w:tcBorders>
              <w:top w:val="single" w:color="000000" w:sz="4" w:space="0"/>
              <w:left w:val="single" w:color="000000" w:sz="4" w:space="0"/>
              <w:bottom w:val="single" w:color="000000" w:sz="4" w:space="0"/>
              <w:right w:val="single" w:color="000000" w:sz="4" w:space="0"/>
            </w:tcBorders>
            <w:vAlign w:val="center"/>
          </w:tcPr>
          <w:p w14:paraId="6981DC2F">
            <w:pPr>
              <w:jc w:val="center"/>
              <w:rPr>
                <w:rFonts w:asciiTheme="minorEastAsia" w:hAnsiTheme="minorEastAsia"/>
                <w:sz w:val="18"/>
                <w:szCs w:val="18"/>
              </w:rPr>
            </w:pPr>
            <w:r>
              <w:rPr>
                <w:rFonts w:hint="eastAsia" w:asciiTheme="minorEastAsia" w:hAnsiTheme="minorEastAsia"/>
                <w:sz w:val="18"/>
                <w:szCs w:val="18"/>
              </w:rPr>
              <w:t>审计部门</w:t>
            </w:r>
          </w:p>
        </w:tc>
        <w:tc>
          <w:tcPr>
            <w:tcW w:w="1019" w:type="pct"/>
            <w:tcBorders>
              <w:top w:val="single" w:color="000000" w:sz="4" w:space="0"/>
              <w:left w:val="single" w:color="000000" w:sz="4" w:space="0"/>
              <w:bottom w:val="single" w:color="000000" w:sz="4" w:space="0"/>
              <w:right w:val="single" w:color="000000" w:sz="4" w:space="0"/>
            </w:tcBorders>
            <w:vAlign w:val="center"/>
          </w:tcPr>
          <w:p w14:paraId="35E8F69A">
            <w:pPr>
              <w:jc w:val="center"/>
              <w:rPr>
                <w:rFonts w:asciiTheme="minorEastAsia" w:hAnsiTheme="minorEastAsia"/>
                <w:sz w:val="18"/>
                <w:szCs w:val="18"/>
              </w:rPr>
            </w:pPr>
            <w:r>
              <w:rPr>
                <w:rFonts w:hint="eastAsia" w:asciiTheme="minorEastAsia" w:hAnsiTheme="minorEastAsia"/>
                <w:sz w:val="18"/>
                <w:szCs w:val="18"/>
              </w:rPr>
              <w:t>内部审计</w:t>
            </w:r>
          </w:p>
        </w:tc>
        <w:tc>
          <w:tcPr>
            <w:tcW w:w="1477" w:type="pct"/>
            <w:tcBorders>
              <w:top w:val="single" w:color="000000" w:sz="4" w:space="0"/>
              <w:left w:val="single" w:color="000000" w:sz="4" w:space="0"/>
              <w:bottom w:val="single" w:color="000000" w:sz="4" w:space="0"/>
              <w:right w:val="single" w:color="000000" w:sz="4" w:space="0"/>
            </w:tcBorders>
            <w:vAlign w:val="center"/>
          </w:tcPr>
          <w:p w14:paraId="454951A1">
            <w:pPr>
              <w:jc w:val="center"/>
              <w:rPr>
                <w:rFonts w:asciiTheme="minorEastAsia" w:hAnsiTheme="minorEastAsia"/>
                <w:sz w:val="18"/>
                <w:szCs w:val="18"/>
              </w:rPr>
            </w:pPr>
            <w:r>
              <w:rPr>
                <w:rFonts w:hint="eastAsia" w:asciiTheme="minorEastAsia" w:hAnsiTheme="minorEastAsia"/>
                <w:sz w:val="18"/>
                <w:szCs w:val="18"/>
              </w:rPr>
              <w:t>重大经营活动无违规</w:t>
            </w:r>
          </w:p>
        </w:tc>
      </w:tr>
      <w:tr w14:paraId="1B9D1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6ABFB629">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14:paraId="57BC2E57">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694AAB93">
            <w:pPr>
              <w:jc w:val="center"/>
              <w:rPr>
                <w:rFonts w:asciiTheme="minorEastAsia" w:hAnsiTheme="minorEastAsia"/>
                <w:sz w:val="18"/>
                <w:szCs w:val="18"/>
              </w:rPr>
            </w:pPr>
            <w:r>
              <w:rPr>
                <w:rFonts w:hint="eastAsia" w:asciiTheme="minorEastAsia" w:hAnsiTheme="minorEastAsia"/>
                <w:sz w:val="18"/>
                <w:szCs w:val="18"/>
              </w:rPr>
              <w:t>公司合作方</w:t>
            </w:r>
          </w:p>
        </w:tc>
        <w:tc>
          <w:tcPr>
            <w:tcW w:w="1019" w:type="pct"/>
            <w:tcBorders>
              <w:top w:val="single" w:color="000000" w:sz="4" w:space="0"/>
              <w:left w:val="single" w:color="000000" w:sz="4" w:space="0"/>
              <w:bottom w:val="single" w:color="000000" w:sz="4" w:space="0"/>
              <w:right w:val="single" w:color="000000" w:sz="4" w:space="0"/>
            </w:tcBorders>
            <w:vAlign w:val="center"/>
          </w:tcPr>
          <w:p w14:paraId="70A51CC9">
            <w:pPr>
              <w:jc w:val="center"/>
              <w:rPr>
                <w:rFonts w:asciiTheme="minorEastAsia" w:hAnsiTheme="minorEastAsia"/>
                <w:sz w:val="18"/>
                <w:szCs w:val="18"/>
              </w:rPr>
            </w:pPr>
            <w:r>
              <w:rPr>
                <w:rFonts w:hint="eastAsia" w:asciiTheme="minorEastAsia" w:hAnsiTheme="minorEastAsia"/>
                <w:sz w:val="18"/>
                <w:szCs w:val="18"/>
              </w:rPr>
              <w:t>满意度测评</w:t>
            </w:r>
          </w:p>
        </w:tc>
        <w:tc>
          <w:tcPr>
            <w:tcW w:w="1477" w:type="pct"/>
            <w:tcBorders>
              <w:top w:val="single" w:color="000000" w:sz="4" w:space="0"/>
              <w:left w:val="single" w:color="000000" w:sz="4" w:space="0"/>
              <w:bottom w:val="single" w:color="000000" w:sz="4" w:space="0"/>
              <w:right w:val="single" w:color="000000" w:sz="4" w:space="0"/>
            </w:tcBorders>
            <w:vAlign w:val="center"/>
          </w:tcPr>
          <w:p w14:paraId="094E4AED">
            <w:pPr>
              <w:jc w:val="center"/>
              <w:rPr>
                <w:rFonts w:asciiTheme="minorEastAsia" w:hAnsiTheme="minorEastAsia"/>
                <w:sz w:val="18"/>
                <w:szCs w:val="18"/>
              </w:rPr>
            </w:pPr>
            <w:r>
              <w:rPr>
                <w:rFonts w:hint="eastAsia" w:asciiTheme="minorEastAsia" w:hAnsiTheme="minorEastAsia"/>
                <w:sz w:val="18"/>
                <w:szCs w:val="18"/>
              </w:rPr>
              <w:t>顾客满意率9</w:t>
            </w:r>
            <w:r>
              <w:rPr>
                <w:rFonts w:asciiTheme="minorEastAsia" w:hAnsiTheme="minorEastAsia"/>
                <w:sz w:val="18"/>
                <w:szCs w:val="18"/>
              </w:rPr>
              <w:t>5</w:t>
            </w:r>
            <w:r>
              <w:rPr>
                <w:rFonts w:hint="eastAsia" w:asciiTheme="minorEastAsia" w:hAnsiTheme="minorEastAsia"/>
                <w:sz w:val="18"/>
                <w:szCs w:val="18"/>
              </w:rPr>
              <w:t>%以上</w:t>
            </w:r>
          </w:p>
        </w:tc>
      </w:tr>
      <w:tr w14:paraId="56354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7546E9EF">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14:paraId="3C8964CB">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7DEC9A08">
            <w:pPr>
              <w:jc w:val="center"/>
              <w:rPr>
                <w:rFonts w:asciiTheme="minorEastAsia" w:hAnsiTheme="minorEastAsia"/>
                <w:sz w:val="18"/>
                <w:szCs w:val="18"/>
              </w:rPr>
            </w:pPr>
            <w:r>
              <w:rPr>
                <w:rFonts w:hint="eastAsia" w:asciiTheme="minorEastAsia" w:hAnsiTheme="minorEastAsia"/>
                <w:sz w:val="18"/>
                <w:szCs w:val="18"/>
              </w:rPr>
              <w:t>党委</w:t>
            </w:r>
          </w:p>
        </w:tc>
        <w:tc>
          <w:tcPr>
            <w:tcW w:w="1019" w:type="pct"/>
            <w:tcBorders>
              <w:top w:val="single" w:color="000000" w:sz="4" w:space="0"/>
              <w:left w:val="single" w:color="000000" w:sz="4" w:space="0"/>
              <w:bottom w:val="single" w:color="000000" w:sz="4" w:space="0"/>
              <w:right w:val="single" w:color="000000" w:sz="4" w:space="0"/>
            </w:tcBorders>
            <w:vAlign w:val="center"/>
          </w:tcPr>
          <w:p w14:paraId="78DE2063">
            <w:pPr>
              <w:jc w:val="center"/>
              <w:rPr>
                <w:rFonts w:asciiTheme="minorEastAsia" w:hAnsiTheme="minorEastAsia"/>
                <w:sz w:val="18"/>
                <w:szCs w:val="18"/>
              </w:rPr>
            </w:pPr>
            <w:r>
              <w:rPr>
                <w:rFonts w:hint="eastAsia" w:asciiTheme="minorEastAsia" w:hAnsiTheme="minorEastAsia"/>
                <w:sz w:val="18"/>
                <w:szCs w:val="18"/>
              </w:rPr>
              <w:t>批评与自我批评</w:t>
            </w:r>
          </w:p>
        </w:tc>
        <w:tc>
          <w:tcPr>
            <w:tcW w:w="1477" w:type="pct"/>
            <w:tcBorders>
              <w:top w:val="single" w:color="000000" w:sz="4" w:space="0"/>
              <w:left w:val="single" w:color="000000" w:sz="4" w:space="0"/>
              <w:bottom w:val="single" w:color="000000" w:sz="4" w:space="0"/>
              <w:right w:val="single" w:color="000000" w:sz="4" w:space="0"/>
            </w:tcBorders>
            <w:vAlign w:val="center"/>
          </w:tcPr>
          <w:p w14:paraId="7C8D5CFD">
            <w:pPr>
              <w:jc w:val="center"/>
              <w:rPr>
                <w:rFonts w:asciiTheme="minorEastAsia" w:hAnsiTheme="minorEastAsia"/>
                <w:sz w:val="18"/>
                <w:szCs w:val="18"/>
              </w:rPr>
            </w:pPr>
            <w:r>
              <w:rPr>
                <w:rFonts w:hint="eastAsia" w:asciiTheme="minorEastAsia" w:hAnsiTheme="minorEastAsia"/>
                <w:sz w:val="18"/>
                <w:szCs w:val="18"/>
              </w:rPr>
              <w:t>合格党员</w:t>
            </w:r>
          </w:p>
        </w:tc>
      </w:tr>
      <w:tr w14:paraId="706A3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55D0F851">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14:paraId="4CD32812">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5BB522EA">
            <w:pPr>
              <w:jc w:val="center"/>
              <w:rPr>
                <w:rFonts w:asciiTheme="minorEastAsia" w:hAnsiTheme="minorEastAsia"/>
                <w:sz w:val="18"/>
                <w:szCs w:val="18"/>
              </w:rPr>
            </w:pPr>
            <w:r>
              <w:rPr>
                <w:rFonts w:hint="eastAsia" w:asciiTheme="minorEastAsia" w:hAnsiTheme="minorEastAsia"/>
                <w:sz w:val="18"/>
                <w:szCs w:val="18"/>
              </w:rPr>
              <w:t>工会</w:t>
            </w:r>
          </w:p>
        </w:tc>
        <w:tc>
          <w:tcPr>
            <w:tcW w:w="1019" w:type="pct"/>
            <w:tcBorders>
              <w:top w:val="single" w:color="000000" w:sz="4" w:space="0"/>
              <w:left w:val="single" w:color="000000" w:sz="4" w:space="0"/>
              <w:bottom w:val="single" w:color="000000" w:sz="4" w:space="0"/>
              <w:right w:val="single" w:color="000000" w:sz="4" w:space="0"/>
            </w:tcBorders>
            <w:vAlign w:val="center"/>
          </w:tcPr>
          <w:p w14:paraId="4F0945D2">
            <w:pPr>
              <w:jc w:val="center"/>
              <w:rPr>
                <w:rFonts w:asciiTheme="minorEastAsia" w:hAnsiTheme="minorEastAsia"/>
                <w:sz w:val="18"/>
                <w:szCs w:val="18"/>
              </w:rPr>
            </w:pPr>
            <w:r>
              <w:rPr>
                <w:rFonts w:hint="eastAsia" w:asciiTheme="minorEastAsia" w:hAnsiTheme="minorEastAsia"/>
                <w:sz w:val="18"/>
                <w:szCs w:val="18"/>
              </w:rPr>
              <w:t>监督和通报</w:t>
            </w:r>
          </w:p>
        </w:tc>
        <w:tc>
          <w:tcPr>
            <w:tcW w:w="1477" w:type="pct"/>
            <w:tcBorders>
              <w:top w:val="single" w:color="000000" w:sz="4" w:space="0"/>
              <w:left w:val="single" w:color="000000" w:sz="4" w:space="0"/>
              <w:bottom w:val="single" w:color="000000" w:sz="4" w:space="0"/>
              <w:right w:val="single" w:color="000000" w:sz="4" w:space="0"/>
            </w:tcBorders>
            <w:vAlign w:val="center"/>
          </w:tcPr>
          <w:p w14:paraId="31C868D3">
            <w:pPr>
              <w:jc w:val="center"/>
              <w:rPr>
                <w:rFonts w:asciiTheme="minorEastAsia" w:hAnsiTheme="minorEastAsia"/>
                <w:sz w:val="18"/>
                <w:szCs w:val="18"/>
              </w:rPr>
            </w:pPr>
            <w:r>
              <w:rPr>
                <w:rFonts w:hint="eastAsia" w:asciiTheme="minorEastAsia" w:hAnsiTheme="minorEastAsia"/>
                <w:sz w:val="18"/>
                <w:szCs w:val="18"/>
              </w:rPr>
              <w:t>劳动合同履行率100%</w:t>
            </w:r>
          </w:p>
        </w:tc>
      </w:tr>
      <w:tr w14:paraId="6EBFA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34E02E7A">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14:paraId="1763C2BC">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6932538D">
            <w:pPr>
              <w:jc w:val="center"/>
              <w:rPr>
                <w:rFonts w:asciiTheme="minorEastAsia" w:hAnsiTheme="minorEastAsia"/>
                <w:sz w:val="18"/>
                <w:szCs w:val="18"/>
              </w:rPr>
            </w:pPr>
            <w:r>
              <w:rPr>
                <w:rFonts w:hint="eastAsia" w:asciiTheme="minorEastAsia" w:hAnsiTheme="minorEastAsia"/>
                <w:sz w:val="18"/>
                <w:szCs w:val="18"/>
              </w:rPr>
              <w:t>全体员工</w:t>
            </w:r>
          </w:p>
        </w:tc>
        <w:tc>
          <w:tcPr>
            <w:tcW w:w="1019" w:type="pct"/>
            <w:tcBorders>
              <w:top w:val="single" w:color="000000" w:sz="4" w:space="0"/>
              <w:left w:val="single" w:color="000000" w:sz="4" w:space="0"/>
              <w:bottom w:val="single" w:color="000000" w:sz="4" w:space="0"/>
              <w:right w:val="single" w:color="000000" w:sz="4" w:space="0"/>
            </w:tcBorders>
            <w:vAlign w:val="center"/>
          </w:tcPr>
          <w:p w14:paraId="4ABC3D56">
            <w:pPr>
              <w:jc w:val="center"/>
              <w:rPr>
                <w:rFonts w:asciiTheme="minorEastAsia" w:hAnsiTheme="minorEastAsia"/>
                <w:sz w:val="18"/>
                <w:szCs w:val="18"/>
              </w:rPr>
            </w:pPr>
            <w:r>
              <w:rPr>
                <w:rFonts w:hint="eastAsia" w:asciiTheme="minorEastAsia" w:hAnsiTheme="minorEastAsia"/>
                <w:sz w:val="18"/>
                <w:szCs w:val="18"/>
              </w:rPr>
              <w:t>满意度测评</w:t>
            </w:r>
          </w:p>
        </w:tc>
        <w:tc>
          <w:tcPr>
            <w:tcW w:w="1477" w:type="pct"/>
            <w:tcBorders>
              <w:top w:val="single" w:color="000000" w:sz="4" w:space="0"/>
              <w:left w:val="single" w:color="000000" w:sz="4" w:space="0"/>
              <w:bottom w:val="single" w:color="000000" w:sz="4" w:space="0"/>
              <w:right w:val="single" w:color="000000" w:sz="4" w:space="0"/>
            </w:tcBorders>
            <w:vAlign w:val="center"/>
          </w:tcPr>
          <w:p w14:paraId="3289E269">
            <w:pPr>
              <w:jc w:val="center"/>
              <w:rPr>
                <w:rFonts w:asciiTheme="minorEastAsia" w:hAnsiTheme="minorEastAsia"/>
                <w:sz w:val="18"/>
                <w:szCs w:val="18"/>
              </w:rPr>
            </w:pPr>
            <w:r>
              <w:rPr>
                <w:rFonts w:hint="eastAsia" w:asciiTheme="minorEastAsia" w:hAnsiTheme="minorEastAsia"/>
                <w:sz w:val="18"/>
                <w:szCs w:val="18"/>
              </w:rPr>
              <w:t>员工满意度85%以上</w:t>
            </w:r>
          </w:p>
        </w:tc>
      </w:tr>
      <w:tr w14:paraId="16C06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4A286FB8">
            <w:pPr>
              <w:jc w:val="center"/>
              <w:rPr>
                <w:rFonts w:asciiTheme="minorEastAsia" w:hAnsiTheme="minorEastAsia"/>
                <w:sz w:val="18"/>
                <w:szCs w:val="18"/>
              </w:rPr>
            </w:pPr>
          </w:p>
        </w:tc>
        <w:tc>
          <w:tcPr>
            <w:tcW w:w="752" w:type="pct"/>
            <w:vMerge w:val="restart"/>
            <w:tcBorders>
              <w:top w:val="single" w:color="000000" w:sz="4" w:space="0"/>
              <w:left w:val="single" w:color="000000" w:sz="4" w:space="0"/>
              <w:bottom w:val="single" w:color="000000" w:sz="4" w:space="0"/>
              <w:right w:val="single" w:color="000000" w:sz="4" w:space="0"/>
            </w:tcBorders>
            <w:vAlign w:val="center"/>
          </w:tcPr>
          <w:p w14:paraId="0C52C814">
            <w:pPr>
              <w:jc w:val="center"/>
              <w:rPr>
                <w:rFonts w:asciiTheme="minorEastAsia" w:hAnsiTheme="minorEastAsia"/>
                <w:sz w:val="18"/>
                <w:szCs w:val="18"/>
              </w:rPr>
            </w:pPr>
            <w:r>
              <w:rPr>
                <w:rFonts w:hint="eastAsia" w:asciiTheme="minorEastAsia" w:hAnsiTheme="minorEastAsia"/>
                <w:sz w:val="18"/>
                <w:szCs w:val="18"/>
              </w:rPr>
              <w:t>生产经营活动的规范性</w:t>
            </w:r>
          </w:p>
        </w:tc>
        <w:tc>
          <w:tcPr>
            <w:tcW w:w="934" w:type="pct"/>
            <w:tcBorders>
              <w:top w:val="single" w:color="000000" w:sz="4" w:space="0"/>
              <w:left w:val="single" w:color="000000" w:sz="4" w:space="0"/>
              <w:bottom w:val="single" w:color="000000" w:sz="4" w:space="0"/>
              <w:right w:val="single" w:color="000000" w:sz="4" w:space="0"/>
            </w:tcBorders>
            <w:vAlign w:val="center"/>
          </w:tcPr>
          <w:p w14:paraId="5ED25FC3">
            <w:pPr>
              <w:jc w:val="center"/>
              <w:rPr>
                <w:rFonts w:asciiTheme="minorEastAsia" w:hAnsiTheme="minorEastAsia"/>
                <w:sz w:val="18"/>
                <w:szCs w:val="18"/>
              </w:rPr>
            </w:pPr>
            <w:r>
              <w:rPr>
                <w:rFonts w:hint="eastAsia" w:asciiTheme="minorEastAsia" w:hAnsiTheme="minorEastAsia"/>
                <w:sz w:val="18"/>
                <w:szCs w:val="18"/>
              </w:rPr>
              <w:t>税务部门</w:t>
            </w:r>
          </w:p>
        </w:tc>
        <w:tc>
          <w:tcPr>
            <w:tcW w:w="1019" w:type="pct"/>
            <w:tcBorders>
              <w:top w:val="single" w:color="000000" w:sz="4" w:space="0"/>
              <w:left w:val="single" w:color="000000" w:sz="4" w:space="0"/>
              <w:bottom w:val="single" w:color="000000" w:sz="4" w:space="0"/>
              <w:right w:val="single" w:color="000000" w:sz="4" w:space="0"/>
            </w:tcBorders>
            <w:vAlign w:val="center"/>
          </w:tcPr>
          <w:p w14:paraId="47B09408">
            <w:pPr>
              <w:jc w:val="center"/>
              <w:rPr>
                <w:rFonts w:asciiTheme="minorEastAsia" w:hAnsiTheme="minorEastAsia"/>
                <w:sz w:val="18"/>
                <w:szCs w:val="18"/>
              </w:rPr>
            </w:pPr>
            <w:r>
              <w:rPr>
                <w:rFonts w:hint="eastAsia" w:asciiTheme="minorEastAsia" w:hAnsiTheme="minorEastAsia"/>
                <w:sz w:val="18"/>
                <w:szCs w:val="18"/>
              </w:rPr>
              <w:t>税务检查及评价</w:t>
            </w:r>
          </w:p>
        </w:tc>
        <w:tc>
          <w:tcPr>
            <w:tcW w:w="1477" w:type="pct"/>
            <w:tcBorders>
              <w:top w:val="single" w:color="000000" w:sz="4" w:space="0"/>
              <w:left w:val="single" w:color="000000" w:sz="4" w:space="0"/>
              <w:bottom w:val="single" w:color="000000" w:sz="4" w:space="0"/>
              <w:right w:val="single" w:color="000000" w:sz="4" w:space="0"/>
            </w:tcBorders>
            <w:vAlign w:val="center"/>
          </w:tcPr>
          <w:p w14:paraId="5C2BC8BA">
            <w:pPr>
              <w:jc w:val="center"/>
              <w:rPr>
                <w:rFonts w:asciiTheme="minorEastAsia" w:hAnsiTheme="minorEastAsia"/>
                <w:sz w:val="18"/>
                <w:szCs w:val="18"/>
              </w:rPr>
            </w:pPr>
            <w:r>
              <w:rPr>
                <w:rFonts w:hint="eastAsia" w:asciiTheme="minorEastAsia" w:hAnsiTheme="minorEastAsia"/>
                <w:sz w:val="18"/>
                <w:szCs w:val="18"/>
              </w:rPr>
              <w:t>依法纳税</w:t>
            </w:r>
          </w:p>
        </w:tc>
      </w:tr>
      <w:tr w14:paraId="7778B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6F6B3389">
            <w:pPr>
              <w:jc w:val="center"/>
              <w:rPr>
                <w:rFonts w:asciiTheme="minorEastAsia" w:hAnsiTheme="minorEastAsia"/>
                <w:sz w:val="18"/>
                <w:szCs w:val="18"/>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14:paraId="7EA501A2">
            <w:pPr>
              <w:jc w:val="center"/>
              <w:rPr>
                <w:rFonts w:asciiTheme="minorEastAsia" w:hAnsiTheme="minorEastAsia"/>
                <w:sz w:val="18"/>
                <w:szCs w:val="18"/>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1B3C8F3A">
            <w:pPr>
              <w:jc w:val="center"/>
              <w:rPr>
                <w:rFonts w:asciiTheme="minorEastAsia" w:hAnsiTheme="minorEastAsia"/>
                <w:sz w:val="18"/>
                <w:szCs w:val="18"/>
              </w:rPr>
            </w:pPr>
            <w:r>
              <w:rPr>
                <w:rFonts w:hint="eastAsia" w:asciiTheme="minorEastAsia" w:hAnsiTheme="minorEastAsia"/>
                <w:sz w:val="18"/>
                <w:szCs w:val="18"/>
              </w:rPr>
              <w:t>银行</w:t>
            </w:r>
          </w:p>
        </w:tc>
        <w:tc>
          <w:tcPr>
            <w:tcW w:w="1019" w:type="pct"/>
            <w:tcBorders>
              <w:top w:val="single" w:color="000000" w:sz="4" w:space="0"/>
              <w:left w:val="single" w:color="000000" w:sz="4" w:space="0"/>
              <w:bottom w:val="single" w:color="000000" w:sz="4" w:space="0"/>
              <w:right w:val="single" w:color="000000" w:sz="4" w:space="0"/>
            </w:tcBorders>
            <w:vAlign w:val="center"/>
          </w:tcPr>
          <w:p w14:paraId="7D4F62C8">
            <w:pPr>
              <w:jc w:val="center"/>
              <w:rPr>
                <w:rFonts w:asciiTheme="minorEastAsia" w:hAnsiTheme="minorEastAsia"/>
                <w:sz w:val="18"/>
                <w:szCs w:val="18"/>
              </w:rPr>
            </w:pPr>
            <w:r>
              <w:rPr>
                <w:rFonts w:hint="eastAsia" w:asciiTheme="minorEastAsia" w:hAnsiTheme="minorEastAsia"/>
                <w:sz w:val="18"/>
                <w:szCs w:val="18"/>
              </w:rPr>
              <w:t>银行信用评价</w:t>
            </w:r>
          </w:p>
        </w:tc>
        <w:tc>
          <w:tcPr>
            <w:tcW w:w="1477" w:type="pct"/>
            <w:tcBorders>
              <w:top w:val="single" w:color="000000" w:sz="4" w:space="0"/>
              <w:left w:val="single" w:color="000000" w:sz="4" w:space="0"/>
              <w:bottom w:val="single" w:color="000000" w:sz="4" w:space="0"/>
              <w:right w:val="single" w:color="000000" w:sz="4" w:space="0"/>
            </w:tcBorders>
            <w:vAlign w:val="center"/>
          </w:tcPr>
          <w:p w14:paraId="698D9421">
            <w:pPr>
              <w:jc w:val="center"/>
              <w:rPr>
                <w:rFonts w:asciiTheme="minorEastAsia" w:hAnsiTheme="minorEastAsia"/>
                <w:sz w:val="18"/>
                <w:szCs w:val="18"/>
              </w:rPr>
            </w:pPr>
            <w:r>
              <w:rPr>
                <w:rFonts w:hint="eastAsia" w:asciiTheme="minorEastAsia" w:hAnsiTheme="minorEastAsia"/>
                <w:sz w:val="18"/>
                <w:szCs w:val="18"/>
              </w:rPr>
              <w:t>按时还贷</w:t>
            </w:r>
          </w:p>
        </w:tc>
      </w:tr>
      <w:tr w14:paraId="69779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6C3A4FBF">
            <w:pPr>
              <w:spacing w:line="360" w:lineRule="exact"/>
              <w:jc w:val="center"/>
              <w:rPr>
                <w:rFonts w:ascii="微软雅黑" w:hAnsi="微软雅黑" w:eastAsia="微软雅黑" w:cs="微软雅黑"/>
                <w:bCs/>
                <w:szCs w:val="21"/>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14:paraId="14124D7F">
            <w:pPr>
              <w:spacing w:line="360" w:lineRule="exact"/>
              <w:jc w:val="center"/>
              <w:rPr>
                <w:rFonts w:ascii="微软雅黑" w:hAnsi="微软雅黑" w:eastAsia="微软雅黑" w:cs="微软雅黑"/>
                <w:bCs/>
                <w:szCs w:val="21"/>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1D33C566">
            <w:pPr>
              <w:jc w:val="center"/>
              <w:rPr>
                <w:rFonts w:asciiTheme="minorEastAsia" w:hAnsiTheme="minorEastAsia"/>
                <w:sz w:val="18"/>
                <w:szCs w:val="18"/>
              </w:rPr>
            </w:pPr>
            <w:r>
              <w:rPr>
                <w:rFonts w:hint="eastAsia" w:asciiTheme="minorEastAsia" w:hAnsiTheme="minorEastAsia"/>
                <w:sz w:val="18"/>
                <w:szCs w:val="18"/>
              </w:rPr>
              <w:t>有关主管部门</w:t>
            </w:r>
          </w:p>
        </w:tc>
        <w:tc>
          <w:tcPr>
            <w:tcW w:w="1019" w:type="pct"/>
            <w:tcBorders>
              <w:top w:val="single" w:color="000000" w:sz="4" w:space="0"/>
              <w:left w:val="single" w:color="000000" w:sz="4" w:space="0"/>
              <w:bottom w:val="single" w:color="000000" w:sz="4" w:space="0"/>
              <w:right w:val="single" w:color="000000" w:sz="4" w:space="0"/>
            </w:tcBorders>
            <w:vAlign w:val="center"/>
          </w:tcPr>
          <w:p w14:paraId="66289FBC">
            <w:pPr>
              <w:jc w:val="center"/>
              <w:rPr>
                <w:rFonts w:asciiTheme="minorEastAsia" w:hAnsiTheme="minorEastAsia"/>
                <w:sz w:val="18"/>
                <w:szCs w:val="18"/>
              </w:rPr>
            </w:pPr>
            <w:r>
              <w:rPr>
                <w:rFonts w:hint="eastAsia" w:asciiTheme="minorEastAsia" w:hAnsiTheme="minorEastAsia"/>
                <w:sz w:val="18"/>
                <w:szCs w:val="18"/>
              </w:rPr>
              <w:t>财务检查</w:t>
            </w:r>
          </w:p>
        </w:tc>
        <w:tc>
          <w:tcPr>
            <w:tcW w:w="1477" w:type="pct"/>
            <w:tcBorders>
              <w:top w:val="single" w:color="000000" w:sz="4" w:space="0"/>
              <w:left w:val="single" w:color="000000" w:sz="4" w:space="0"/>
              <w:bottom w:val="single" w:color="000000" w:sz="4" w:space="0"/>
              <w:right w:val="single" w:color="000000" w:sz="4" w:space="0"/>
            </w:tcBorders>
            <w:vAlign w:val="center"/>
          </w:tcPr>
          <w:p w14:paraId="3F84ECA7">
            <w:pPr>
              <w:jc w:val="center"/>
              <w:rPr>
                <w:rFonts w:asciiTheme="minorEastAsia" w:hAnsiTheme="minorEastAsia"/>
                <w:sz w:val="18"/>
                <w:szCs w:val="18"/>
              </w:rPr>
            </w:pPr>
            <w:r>
              <w:rPr>
                <w:rFonts w:hint="eastAsia" w:asciiTheme="minorEastAsia" w:hAnsiTheme="minorEastAsia"/>
                <w:sz w:val="18"/>
                <w:szCs w:val="18"/>
              </w:rPr>
              <w:t>财务报表真实性100%</w:t>
            </w:r>
          </w:p>
        </w:tc>
      </w:tr>
      <w:tr w14:paraId="316CA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jc w:val="center"/>
        </w:trPr>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2C126088">
            <w:pPr>
              <w:spacing w:line="360" w:lineRule="exact"/>
              <w:jc w:val="center"/>
              <w:rPr>
                <w:rFonts w:ascii="微软雅黑" w:hAnsi="微软雅黑" w:eastAsia="微软雅黑" w:cs="微软雅黑"/>
                <w:bCs/>
                <w:szCs w:val="21"/>
              </w:rPr>
            </w:pPr>
          </w:p>
        </w:tc>
        <w:tc>
          <w:tcPr>
            <w:tcW w:w="752" w:type="pct"/>
            <w:vMerge w:val="continue"/>
            <w:tcBorders>
              <w:top w:val="single" w:color="000000" w:sz="4" w:space="0"/>
              <w:left w:val="single" w:color="000000" w:sz="4" w:space="0"/>
              <w:bottom w:val="single" w:color="000000" w:sz="4" w:space="0"/>
              <w:right w:val="single" w:color="000000" w:sz="4" w:space="0"/>
            </w:tcBorders>
            <w:vAlign w:val="center"/>
          </w:tcPr>
          <w:p w14:paraId="580E0165">
            <w:pPr>
              <w:spacing w:line="360" w:lineRule="exact"/>
              <w:jc w:val="center"/>
              <w:rPr>
                <w:rFonts w:ascii="微软雅黑" w:hAnsi="微软雅黑" w:eastAsia="微软雅黑" w:cs="微软雅黑"/>
                <w:bCs/>
                <w:szCs w:val="21"/>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2C585E2D">
            <w:pPr>
              <w:jc w:val="center"/>
              <w:rPr>
                <w:rFonts w:asciiTheme="minorEastAsia" w:hAnsiTheme="minorEastAsia"/>
                <w:sz w:val="18"/>
                <w:szCs w:val="18"/>
              </w:rPr>
            </w:pPr>
            <w:r>
              <w:rPr>
                <w:rFonts w:hint="eastAsia" w:asciiTheme="minorEastAsia" w:hAnsiTheme="minorEastAsia"/>
                <w:sz w:val="18"/>
                <w:szCs w:val="18"/>
              </w:rPr>
              <w:t>合作方</w:t>
            </w:r>
          </w:p>
        </w:tc>
        <w:tc>
          <w:tcPr>
            <w:tcW w:w="1019" w:type="pct"/>
            <w:tcBorders>
              <w:top w:val="single" w:color="000000" w:sz="4" w:space="0"/>
              <w:left w:val="single" w:color="000000" w:sz="4" w:space="0"/>
              <w:bottom w:val="single" w:color="000000" w:sz="4" w:space="0"/>
              <w:right w:val="single" w:color="000000" w:sz="4" w:space="0"/>
            </w:tcBorders>
            <w:vAlign w:val="center"/>
          </w:tcPr>
          <w:p w14:paraId="5521C00F">
            <w:pPr>
              <w:jc w:val="center"/>
              <w:rPr>
                <w:rFonts w:asciiTheme="minorEastAsia" w:hAnsiTheme="minorEastAsia"/>
                <w:sz w:val="18"/>
                <w:szCs w:val="18"/>
              </w:rPr>
            </w:pPr>
            <w:r>
              <w:rPr>
                <w:rFonts w:hint="eastAsia" w:asciiTheme="minorEastAsia" w:hAnsiTheme="minorEastAsia"/>
                <w:sz w:val="18"/>
                <w:szCs w:val="18"/>
              </w:rPr>
              <w:t>合同兑现</w:t>
            </w:r>
          </w:p>
        </w:tc>
        <w:tc>
          <w:tcPr>
            <w:tcW w:w="1477" w:type="pct"/>
            <w:tcBorders>
              <w:top w:val="single" w:color="000000" w:sz="4" w:space="0"/>
              <w:left w:val="single" w:color="000000" w:sz="4" w:space="0"/>
              <w:bottom w:val="single" w:color="000000" w:sz="4" w:space="0"/>
              <w:right w:val="single" w:color="000000" w:sz="4" w:space="0"/>
            </w:tcBorders>
            <w:vAlign w:val="center"/>
          </w:tcPr>
          <w:p w14:paraId="0AD1E5E1">
            <w:pPr>
              <w:jc w:val="center"/>
              <w:rPr>
                <w:rFonts w:asciiTheme="minorEastAsia" w:hAnsiTheme="minorEastAsia"/>
                <w:sz w:val="18"/>
                <w:szCs w:val="18"/>
              </w:rPr>
            </w:pPr>
            <w:r>
              <w:rPr>
                <w:rFonts w:hint="eastAsia" w:asciiTheme="minorEastAsia" w:hAnsiTheme="minorEastAsia"/>
                <w:sz w:val="18"/>
                <w:szCs w:val="18"/>
              </w:rPr>
              <w:t>采购合同兑现率100%</w:t>
            </w:r>
          </w:p>
        </w:tc>
      </w:tr>
      <w:tr w14:paraId="259B5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815" w:type="pct"/>
            <w:tcBorders>
              <w:top w:val="single" w:color="000000" w:sz="4" w:space="0"/>
              <w:left w:val="single" w:color="000000" w:sz="4" w:space="0"/>
              <w:bottom w:val="single" w:color="000000" w:sz="4" w:space="0"/>
              <w:right w:val="single" w:color="000000" w:sz="4" w:space="0"/>
            </w:tcBorders>
            <w:vAlign w:val="center"/>
          </w:tcPr>
          <w:p w14:paraId="306F479C">
            <w:pPr>
              <w:jc w:val="center"/>
              <w:rPr>
                <w:rFonts w:asciiTheme="minorEastAsia" w:hAnsiTheme="minorEastAsia"/>
                <w:sz w:val="18"/>
                <w:szCs w:val="18"/>
              </w:rPr>
            </w:pPr>
            <w:r>
              <w:rPr>
                <w:rFonts w:hint="eastAsia" w:asciiTheme="minorEastAsia" w:hAnsiTheme="minorEastAsia"/>
                <w:sz w:val="18"/>
                <w:szCs w:val="18"/>
              </w:rPr>
              <w:t>员工</w:t>
            </w:r>
          </w:p>
        </w:tc>
        <w:tc>
          <w:tcPr>
            <w:tcW w:w="752" w:type="pct"/>
            <w:tcBorders>
              <w:top w:val="single" w:color="000000" w:sz="4" w:space="0"/>
              <w:left w:val="single" w:color="000000" w:sz="4" w:space="0"/>
              <w:bottom w:val="single" w:color="000000" w:sz="4" w:space="0"/>
              <w:right w:val="single" w:color="000000" w:sz="4" w:space="0"/>
            </w:tcBorders>
            <w:vAlign w:val="center"/>
          </w:tcPr>
          <w:p w14:paraId="381AEC1C">
            <w:pPr>
              <w:jc w:val="center"/>
              <w:rPr>
                <w:rFonts w:asciiTheme="minorEastAsia" w:hAnsiTheme="minorEastAsia"/>
                <w:sz w:val="18"/>
                <w:szCs w:val="18"/>
              </w:rPr>
            </w:pPr>
            <w:r>
              <w:rPr>
                <w:rFonts w:hint="eastAsia" w:asciiTheme="minorEastAsia" w:hAnsiTheme="minorEastAsia"/>
                <w:sz w:val="18"/>
                <w:szCs w:val="18"/>
              </w:rPr>
              <w:t>日常行为</w:t>
            </w:r>
          </w:p>
        </w:tc>
        <w:tc>
          <w:tcPr>
            <w:tcW w:w="934" w:type="pct"/>
            <w:tcBorders>
              <w:top w:val="single" w:color="000000" w:sz="4" w:space="0"/>
              <w:left w:val="single" w:color="000000" w:sz="4" w:space="0"/>
              <w:bottom w:val="single" w:color="000000" w:sz="4" w:space="0"/>
              <w:right w:val="single" w:color="000000" w:sz="4" w:space="0"/>
            </w:tcBorders>
            <w:vAlign w:val="center"/>
          </w:tcPr>
          <w:p w14:paraId="7BE0D01A">
            <w:pPr>
              <w:jc w:val="center"/>
              <w:rPr>
                <w:rFonts w:asciiTheme="minorEastAsia" w:hAnsiTheme="minorEastAsia"/>
                <w:sz w:val="18"/>
                <w:szCs w:val="18"/>
              </w:rPr>
            </w:pPr>
            <w:r>
              <w:rPr>
                <w:rFonts w:hint="eastAsia" w:asciiTheme="minorEastAsia" w:hAnsiTheme="minorEastAsia"/>
                <w:sz w:val="18"/>
                <w:szCs w:val="18"/>
              </w:rPr>
              <w:t>媒体、监察部门</w:t>
            </w:r>
          </w:p>
        </w:tc>
        <w:tc>
          <w:tcPr>
            <w:tcW w:w="1019" w:type="pct"/>
            <w:tcBorders>
              <w:top w:val="single" w:color="000000" w:sz="4" w:space="0"/>
              <w:left w:val="single" w:color="000000" w:sz="4" w:space="0"/>
              <w:bottom w:val="single" w:color="000000" w:sz="4" w:space="0"/>
              <w:right w:val="single" w:color="000000" w:sz="4" w:space="0"/>
            </w:tcBorders>
            <w:vAlign w:val="center"/>
          </w:tcPr>
          <w:p w14:paraId="5BED7A92">
            <w:pPr>
              <w:jc w:val="center"/>
              <w:rPr>
                <w:rFonts w:asciiTheme="minorEastAsia" w:hAnsiTheme="minorEastAsia"/>
                <w:sz w:val="18"/>
                <w:szCs w:val="18"/>
              </w:rPr>
            </w:pPr>
            <w:r>
              <w:rPr>
                <w:rFonts w:hint="eastAsia" w:asciiTheme="minorEastAsia" w:hAnsiTheme="minorEastAsia"/>
                <w:sz w:val="18"/>
                <w:szCs w:val="18"/>
              </w:rPr>
              <w:t>媒体曝光、违纪处理</w:t>
            </w:r>
          </w:p>
        </w:tc>
        <w:tc>
          <w:tcPr>
            <w:tcW w:w="1477" w:type="pct"/>
            <w:tcBorders>
              <w:top w:val="single" w:color="000000" w:sz="4" w:space="0"/>
              <w:left w:val="single" w:color="000000" w:sz="4" w:space="0"/>
              <w:bottom w:val="single" w:color="000000" w:sz="4" w:space="0"/>
              <w:right w:val="single" w:color="000000" w:sz="4" w:space="0"/>
            </w:tcBorders>
            <w:vAlign w:val="center"/>
          </w:tcPr>
          <w:p w14:paraId="40841160">
            <w:pPr>
              <w:jc w:val="center"/>
              <w:rPr>
                <w:rFonts w:asciiTheme="minorEastAsia" w:hAnsiTheme="minorEastAsia"/>
                <w:sz w:val="18"/>
                <w:szCs w:val="18"/>
              </w:rPr>
            </w:pPr>
            <w:r>
              <w:rPr>
                <w:rFonts w:hint="eastAsia" w:asciiTheme="minorEastAsia" w:hAnsiTheme="minorEastAsia"/>
                <w:sz w:val="18"/>
                <w:szCs w:val="18"/>
              </w:rPr>
              <w:t>杜绝不文明行为</w:t>
            </w:r>
          </w:p>
        </w:tc>
      </w:tr>
    </w:tbl>
    <w:p w14:paraId="546497F9">
      <w:pPr>
        <w:pStyle w:val="3"/>
        <w:numPr>
          <w:ilvl w:val="0"/>
          <w:numId w:val="23"/>
        </w:numPr>
        <w:spacing w:before="0" w:after="0" w:line="300" w:lineRule="auto"/>
        <w:rPr>
          <w:sz w:val="28"/>
          <w:szCs w:val="28"/>
        </w:rPr>
      </w:pPr>
      <w:bookmarkStart w:id="47" w:name="_Toc47951678"/>
      <w:r>
        <w:rPr>
          <w:rFonts w:hint="eastAsia"/>
          <w:sz w:val="28"/>
          <w:szCs w:val="28"/>
        </w:rPr>
        <w:t>关爱员工</w:t>
      </w:r>
      <w:bookmarkEnd w:id="47"/>
    </w:p>
    <w:p w14:paraId="32271029">
      <w:pPr>
        <w:pStyle w:val="4"/>
        <w:numPr>
          <w:ilvl w:val="1"/>
          <w:numId w:val="28"/>
        </w:numPr>
        <w:tabs>
          <w:tab w:val="left" w:pos="567"/>
        </w:tabs>
        <w:spacing w:before="0" w:after="0" w:line="300" w:lineRule="auto"/>
        <w:ind w:left="0" w:firstLine="0"/>
        <w:rPr>
          <w:rFonts w:ascii="宋体" w:hAnsi="宋体"/>
          <w:sz w:val="24"/>
          <w:szCs w:val="24"/>
        </w:rPr>
      </w:pPr>
      <w:bookmarkStart w:id="48" w:name="_Toc47951679"/>
      <w:r>
        <w:rPr>
          <w:rFonts w:hint="eastAsia" w:ascii="宋体" w:hAnsi="宋体"/>
          <w:sz w:val="24"/>
          <w:szCs w:val="24"/>
        </w:rPr>
        <w:t>员工权益保障</w:t>
      </w:r>
      <w:bookmarkEnd w:id="48"/>
    </w:p>
    <w:p w14:paraId="1FA3D388">
      <w:pPr>
        <w:spacing w:line="300" w:lineRule="auto"/>
        <w:ind w:firstLine="480" w:firstLineChars="200"/>
        <w:rPr>
          <w:rFonts w:ascii="宋体" w:hAnsi="宋体"/>
          <w:sz w:val="24"/>
          <w:szCs w:val="24"/>
        </w:rPr>
      </w:pPr>
      <w:r>
        <w:rPr>
          <w:rFonts w:hint="eastAsia" w:ascii="宋体" w:hAnsi="宋体"/>
          <w:sz w:val="24"/>
          <w:szCs w:val="24"/>
        </w:rPr>
        <w:t>浙江三思永恒在招聘、使用、培训、选拔、激励等方面均不存在对性别、地域、种族、年龄等方面的歧视。充分发挥员工才能，尊重劳动成果，科学合理用工，促进公司发展。公司历年的劳动合同签订率均为100%，用工合法、规范，不曾出现违反国家劳动合同管理和法律、法规的情况，劳动关系和谐融洽。</w:t>
      </w:r>
    </w:p>
    <w:p w14:paraId="6AF6CBB1">
      <w:pPr>
        <w:spacing w:line="300" w:lineRule="auto"/>
        <w:ind w:firstLine="480" w:firstLineChars="200"/>
        <w:rPr>
          <w:rFonts w:ascii="宋体" w:hAnsi="宋体"/>
          <w:sz w:val="24"/>
          <w:szCs w:val="24"/>
        </w:rPr>
      </w:pPr>
      <w:r>
        <w:rPr>
          <w:rFonts w:hint="eastAsia" w:ascii="宋体" w:hAnsi="宋体"/>
          <w:sz w:val="24"/>
          <w:szCs w:val="24"/>
        </w:rPr>
        <w:t>公司依法为职工按月足额缴纳社会保险，公司职工的社保参保率一直保持在100%。</w:t>
      </w:r>
    </w:p>
    <w:p w14:paraId="18F1237D">
      <w:pPr>
        <w:spacing w:line="300" w:lineRule="auto"/>
        <w:ind w:firstLine="480" w:firstLineChars="200"/>
        <w:rPr>
          <w:rFonts w:ascii="宋体" w:hAnsi="宋体"/>
          <w:sz w:val="24"/>
          <w:szCs w:val="24"/>
        </w:rPr>
      </w:pPr>
      <w:r>
        <w:rPr>
          <w:rFonts w:hint="eastAsia" w:ascii="宋体" w:hAnsi="宋体"/>
          <w:sz w:val="24"/>
          <w:szCs w:val="24"/>
        </w:rPr>
        <w:t>公司注重建设和谐融洽的劳动关系，提升企业凝聚力，员工在分享企业发展带来的实惠的同时，工作的稳定性和忠诚度保持在较高的水平。</w:t>
      </w:r>
    </w:p>
    <w:p w14:paraId="75EB3252">
      <w:pPr>
        <w:pStyle w:val="4"/>
        <w:numPr>
          <w:ilvl w:val="1"/>
          <w:numId w:val="28"/>
        </w:numPr>
        <w:tabs>
          <w:tab w:val="left" w:pos="567"/>
        </w:tabs>
        <w:spacing w:before="0" w:after="0" w:line="300" w:lineRule="auto"/>
        <w:ind w:left="0" w:firstLine="0"/>
        <w:rPr>
          <w:rFonts w:ascii="宋体" w:hAnsi="宋体"/>
          <w:sz w:val="24"/>
          <w:szCs w:val="24"/>
        </w:rPr>
      </w:pPr>
      <w:bookmarkStart w:id="49" w:name="_Toc47951680"/>
      <w:r>
        <w:rPr>
          <w:rFonts w:hint="eastAsia" w:ascii="宋体" w:hAnsi="宋体"/>
          <w:sz w:val="24"/>
          <w:szCs w:val="24"/>
        </w:rPr>
        <w:t>支持员工发展</w:t>
      </w:r>
      <w:bookmarkEnd w:id="49"/>
    </w:p>
    <w:p w14:paraId="5AF671AB">
      <w:pPr>
        <w:spacing w:line="300" w:lineRule="auto"/>
        <w:ind w:firstLine="480" w:firstLineChars="200"/>
        <w:rPr>
          <w:rFonts w:ascii="宋体" w:hAnsi="宋体"/>
          <w:sz w:val="24"/>
          <w:szCs w:val="24"/>
        </w:rPr>
      </w:pPr>
      <w:r>
        <w:rPr>
          <w:rFonts w:hint="eastAsia" w:ascii="宋体" w:hAnsi="宋体"/>
          <w:sz w:val="24"/>
          <w:szCs w:val="24"/>
        </w:rPr>
        <w:t>公司高度重视员工的职业发展，通过不断完善各项政策制度，打造适合各类人才成长的平台。公司每年制订《年度培训计划》并予以实施，并对关键性的重点培训项目进行跟踪和效果评估。同时，公司充分保证培训经费，确保培训项目能够顺利开展。公司目前已建立了新员工、中高层管理人员、专业技术人员、技术工人、强制性执业（操作）资格、管理体系标准等培训课程体系。</w:t>
      </w:r>
    </w:p>
    <w:p w14:paraId="19B6250F">
      <w:pPr>
        <w:spacing w:line="300" w:lineRule="auto"/>
        <w:ind w:firstLine="3795" w:firstLineChars="1800"/>
        <w:rPr>
          <w:rFonts w:ascii="宋体" w:hAnsi="宋体"/>
          <w:b/>
          <w:szCs w:val="21"/>
        </w:rPr>
      </w:pPr>
      <w:r>
        <w:rPr>
          <w:rFonts w:hint="eastAsia" w:ascii="宋体" w:hAnsi="宋体"/>
          <w:b/>
          <w:szCs w:val="21"/>
        </w:rPr>
        <w:t>图5</w:t>
      </w:r>
      <w:r>
        <w:rPr>
          <w:rFonts w:ascii="宋体" w:hAnsi="宋体"/>
          <w:b/>
          <w:szCs w:val="21"/>
        </w:rPr>
        <w:t xml:space="preserve">  </w:t>
      </w:r>
      <w:r>
        <w:rPr>
          <w:rFonts w:hint="eastAsia" w:ascii="宋体" w:hAnsi="宋体"/>
          <w:b/>
          <w:szCs w:val="21"/>
        </w:rPr>
        <w:t>员工培训</w:t>
      </w:r>
    </w:p>
    <w:p w14:paraId="5AF352B1">
      <w:pPr>
        <w:spacing w:line="300" w:lineRule="auto"/>
        <w:rPr>
          <w:rFonts w:hint="eastAsia" w:cs="微软雅黑" w:asciiTheme="minorEastAsia" w:hAnsiTheme="minorEastAsia"/>
          <w:sz w:val="24"/>
          <w:szCs w:val="24"/>
        </w:rPr>
      </w:pPr>
      <w:r>
        <w:rPr>
          <w:rFonts w:asciiTheme="minorEastAsia" w:hAnsiTheme="minorEastAsia"/>
          <w:b/>
          <w:szCs w:val="21"/>
        </w:rPr>
        <w:drawing>
          <wp:inline distT="0" distB="0" distL="0" distR="0">
            <wp:extent cx="5740400" cy="2916555"/>
            <wp:effectExtent l="0" t="0" r="0" b="0"/>
            <wp:docPr id="957841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41448"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2493" cy="2923280"/>
                    </a:xfrm>
                    <a:prstGeom prst="rect">
                      <a:avLst/>
                    </a:prstGeom>
                    <a:noFill/>
                    <a:ln>
                      <a:noFill/>
                    </a:ln>
                  </pic:spPr>
                </pic:pic>
              </a:graphicData>
            </a:graphic>
          </wp:inline>
        </w:drawing>
      </w:r>
    </w:p>
    <w:p w14:paraId="43B83947">
      <w:pPr>
        <w:pStyle w:val="4"/>
        <w:numPr>
          <w:ilvl w:val="1"/>
          <w:numId w:val="28"/>
        </w:numPr>
        <w:tabs>
          <w:tab w:val="left" w:pos="567"/>
        </w:tabs>
        <w:spacing w:before="0" w:after="0" w:line="300" w:lineRule="auto"/>
        <w:ind w:left="0" w:firstLine="0"/>
        <w:rPr>
          <w:rFonts w:ascii="宋体" w:hAnsi="宋体"/>
          <w:sz w:val="24"/>
          <w:szCs w:val="24"/>
        </w:rPr>
      </w:pPr>
      <w:bookmarkStart w:id="50" w:name="_Toc47951681"/>
      <w:r>
        <w:rPr>
          <w:rFonts w:hint="eastAsia" w:ascii="宋体" w:hAnsi="宋体"/>
          <w:sz w:val="24"/>
          <w:szCs w:val="24"/>
        </w:rPr>
        <w:t>员工职业健康安全保障</w:t>
      </w:r>
      <w:bookmarkEnd w:id="50"/>
    </w:p>
    <w:p w14:paraId="0D7A1EA1">
      <w:pPr>
        <w:widowControl/>
        <w:spacing w:line="360" w:lineRule="exact"/>
        <w:ind w:firstLine="480" w:firstLineChars="200"/>
        <w:rPr>
          <w:rFonts w:ascii="宋体" w:hAnsi="宋体"/>
          <w:sz w:val="24"/>
          <w:szCs w:val="24"/>
        </w:rPr>
      </w:pPr>
      <w:r>
        <w:rPr>
          <w:rFonts w:hint="eastAsia" w:ascii="宋体" w:hAnsi="宋体"/>
          <w:sz w:val="24"/>
          <w:szCs w:val="24"/>
        </w:rPr>
        <w:t>舒适的办公/生产环境：公司严格执行《劳动法》、《安全生产法》、《职业病防治法》、《职业病管理与防护办法》、《工业卫生与职业病管理办法》、《劳动保护管理办法》、《女工劳动保护管理办法》等劳动、安全生产法律法规，为员工创造健康、安全的工作环境。公司每年组织员工进行职业健康体检，目前无职业病发生。</w:t>
      </w:r>
    </w:p>
    <w:p w14:paraId="20F5C50E">
      <w:pPr>
        <w:widowControl/>
        <w:spacing w:line="360" w:lineRule="exact"/>
        <w:ind w:firstLine="480" w:firstLineChars="200"/>
        <w:rPr>
          <w:rFonts w:ascii="宋体" w:hAnsi="宋体"/>
          <w:sz w:val="24"/>
          <w:szCs w:val="24"/>
        </w:rPr>
      </w:pPr>
      <w:r>
        <w:rPr>
          <w:rFonts w:hint="eastAsia" w:ascii="宋体" w:hAnsi="宋体"/>
          <w:sz w:val="24"/>
          <w:szCs w:val="24"/>
        </w:rPr>
        <w:t>公司与员工签订劳动合同，准时发放工资和缴纳各种保险，定期组织安全生产培训，发放劳保用品，定时体检，采取通风、除尘、改进工艺等措施不断改善劳动环境。</w:t>
      </w:r>
    </w:p>
    <w:p w14:paraId="0F957744">
      <w:pPr>
        <w:widowControl/>
        <w:spacing w:line="360" w:lineRule="exact"/>
        <w:ind w:firstLine="480" w:firstLineChars="200"/>
        <w:rPr>
          <w:rFonts w:ascii="宋体" w:hAnsi="宋体"/>
          <w:sz w:val="24"/>
          <w:szCs w:val="24"/>
        </w:rPr>
      </w:pPr>
      <w:r>
        <w:rPr>
          <w:rFonts w:hint="eastAsia" w:ascii="宋体" w:hAnsi="宋体"/>
          <w:sz w:val="24"/>
          <w:szCs w:val="24"/>
        </w:rPr>
        <w:t>针对潜在的火灾、触电、台风及设备损坏等突发事件，制定了《应急准备与响应控制程序》、《应急预案》等文件，详细识别了可能导致员工安全健康、环境保护、业务中断、造成重大人身及财产损失的各种风险，并每年开展应急演习，培养员工在紧急情况下的逃生能力。</w:t>
      </w:r>
    </w:p>
    <w:p w14:paraId="740D229F">
      <w:pPr>
        <w:pStyle w:val="4"/>
        <w:numPr>
          <w:ilvl w:val="1"/>
          <w:numId w:val="28"/>
        </w:numPr>
        <w:tabs>
          <w:tab w:val="left" w:pos="567"/>
        </w:tabs>
        <w:spacing w:before="0" w:after="0" w:line="300" w:lineRule="auto"/>
        <w:ind w:left="0" w:firstLine="0"/>
        <w:rPr>
          <w:rFonts w:ascii="宋体" w:hAnsi="宋体"/>
          <w:sz w:val="24"/>
          <w:szCs w:val="24"/>
        </w:rPr>
      </w:pPr>
      <w:bookmarkStart w:id="51" w:name="_Toc47951682"/>
      <w:r>
        <w:rPr>
          <w:rFonts w:hint="eastAsia" w:ascii="宋体" w:hAnsi="宋体"/>
          <w:sz w:val="24"/>
          <w:szCs w:val="24"/>
        </w:rPr>
        <w:t>推行员工关怀</w:t>
      </w:r>
      <w:bookmarkEnd w:id="51"/>
    </w:p>
    <w:p w14:paraId="36F6336F">
      <w:pPr>
        <w:widowControl/>
        <w:spacing w:line="360" w:lineRule="exact"/>
        <w:ind w:firstLine="480" w:firstLineChars="200"/>
        <w:rPr>
          <w:rFonts w:ascii="宋体" w:hAnsi="宋体"/>
          <w:sz w:val="24"/>
          <w:szCs w:val="24"/>
        </w:rPr>
      </w:pPr>
      <w:r>
        <w:rPr>
          <w:rFonts w:hint="eastAsia" w:ascii="宋体" w:hAnsi="宋体"/>
          <w:sz w:val="24"/>
          <w:szCs w:val="24"/>
        </w:rPr>
        <w:t>公司成立工会组织，保障员工权益。针对困难员工，工会负责组织捐款、现场慰问，发放困难补助。针对女性员工，公司每年一次组织妇女健康体检。</w:t>
      </w:r>
    </w:p>
    <w:p w14:paraId="1E2004F7">
      <w:pPr>
        <w:widowControl/>
        <w:spacing w:line="360" w:lineRule="exact"/>
        <w:ind w:firstLine="480" w:firstLineChars="200"/>
        <w:rPr>
          <w:rFonts w:ascii="宋体" w:hAnsi="宋体"/>
          <w:sz w:val="24"/>
          <w:szCs w:val="24"/>
        </w:rPr>
      </w:pPr>
      <w:r>
        <w:rPr>
          <w:rFonts w:hint="eastAsia" w:ascii="宋体" w:hAnsi="宋体"/>
          <w:sz w:val="24"/>
          <w:szCs w:val="24"/>
        </w:rPr>
        <w:t>公司组织各种员工活动，推行快乐工作，提高员工工作积极性，把工作与生活紧密相连，使员工能在工作中得到更多的快乐。</w:t>
      </w:r>
    </w:p>
    <w:p w14:paraId="0EFC57BE">
      <w:pPr>
        <w:spacing w:line="300" w:lineRule="auto"/>
        <w:ind w:firstLine="4006" w:firstLineChars="1900"/>
        <w:rPr>
          <w:rFonts w:ascii="宋体" w:hAnsi="宋体"/>
          <w:b/>
          <w:szCs w:val="21"/>
        </w:rPr>
      </w:pPr>
      <w:r>
        <w:rPr>
          <w:rFonts w:hint="eastAsia" w:ascii="宋体" w:hAnsi="宋体"/>
          <w:b/>
          <w:szCs w:val="21"/>
        </w:rPr>
        <w:t>图6</w:t>
      </w:r>
      <w:r>
        <w:rPr>
          <w:rFonts w:ascii="宋体" w:hAnsi="宋体"/>
          <w:b/>
          <w:szCs w:val="21"/>
        </w:rPr>
        <w:t xml:space="preserve"> </w:t>
      </w:r>
      <w:r>
        <w:rPr>
          <w:rFonts w:hint="eastAsia" w:ascii="宋体" w:hAnsi="宋体"/>
          <w:b/>
          <w:szCs w:val="21"/>
        </w:rPr>
        <w:t>员工关怀</w:t>
      </w:r>
    </w:p>
    <w:p w14:paraId="08F16363">
      <w:pPr>
        <w:spacing w:line="300" w:lineRule="auto"/>
        <w:ind w:firstLine="480" w:firstLineChars="200"/>
        <w:rPr>
          <w:rFonts w:ascii="宋体" w:hAnsi="宋体"/>
          <w:b/>
          <w:szCs w:val="21"/>
        </w:rPr>
      </w:pPr>
      <w:r>
        <w:rPr>
          <w:rFonts w:ascii="宋体" w:hAnsi="宋体"/>
          <w:sz w:val="24"/>
          <w:szCs w:val="24"/>
        </w:rPr>
        <w:drawing>
          <wp:inline distT="0" distB="0" distL="0" distR="0">
            <wp:extent cx="5187950" cy="2698750"/>
            <wp:effectExtent l="0" t="0" r="0" b="6350"/>
            <wp:docPr id="1110896579" name="图片 111089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96579" name="图片 11108965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87950" cy="2698750"/>
                    </a:xfrm>
                    <a:prstGeom prst="rect">
                      <a:avLst/>
                    </a:prstGeom>
                    <a:noFill/>
                    <a:ln>
                      <a:noFill/>
                    </a:ln>
                  </pic:spPr>
                </pic:pic>
              </a:graphicData>
            </a:graphic>
          </wp:inline>
        </w:drawing>
      </w:r>
    </w:p>
    <w:p w14:paraId="3ECCE1A5">
      <w:pPr>
        <w:spacing w:line="300" w:lineRule="auto"/>
        <w:ind w:firstLine="420" w:firstLineChars="200"/>
        <w:rPr>
          <w:rFonts w:ascii="宋体" w:hAnsi="宋体"/>
          <w:b/>
          <w:szCs w:val="21"/>
        </w:rPr>
      </w:pPr>
      <w:r>
        <w:rPr>
          <w:rFonts w:hint="eastAsia"/>
        </w:rPr>
        <w:drawing>
          <wp:inline distT="0" distB="0" distL="114300" distR="114300">
            <wp:extent cx="5219700" cy="2546350"/>
            <wp:effectExtent l="0" t="0" r="0" b="6350"/>
            <wp:docPr id="1119552491" name="图片 1119552491" descr="0f1a72bfa54e32100933f8f318f1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52491" name="图片 1119552491" descr="0f1a72bfa54e32100933f8f318f180a"/>
                    <pic:cNvPicPr>
                      <a:picLocks noChangeAspect="1"/>
                    </pic:cNvPicPr>
                  </pic:nvPicPr>
                  <pic:blipFill>
                    <a:blip r:embed="rId17"/>
                    <a:stretch>
                      <a:fillRect/>
                    </a:stretch>
                  </pic:blipFill>
                  <pic:spPr>
                    <a:xfrm>
                      <a:off x="0" y="0"/>
                      <a:ext cx="5239627" cy="2556071"/>
                    </a:xfrm>
                    <a:prstGeom prst="rect">
                      <a:avLst/>
                    </a:prstGeom>
                  </pic:spPr>
                </pic:pic>
              </a:graphicData>
            </a:graphic>
          </wp:inline>
        </w:drawing>
      </w:r>
    </w:p>
    <w:p w14:paraId="0F8C611D">
      <w:pPr>
        <w:spacing w:line="300" w:lineRule="auto"/>
        <w:ind w:firstLine="420" w:firstLineChars="200"/>
        <w:rPr>
          <w:rFonts w:ascii="宋体" w:hAnsi="宋体"/>
          <w:b/>
          <w:szCs w:val="21"/>
        </w:rPr>
      </w:pPr>
      <w:r>
        <w:rPr>
          <w:rFonts w:hint="eastAsia"/>
        </w:rPr>
        <w:drawing>
          <wp:inline distT="0" distB="0" distL="114300" distR="114300">
            <wp:extent cx="5232400" cy="2628900"/>
            <wp:effectExtent l="0" t="0" r="6350" b="0"/>
            <wp:docPr id="13" name="图片 13" descr="27f1a9c6c5a4f7ac75d5373aaf2c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7f1a9c6c5a4f7ac75d5373aaf2c965"/>
                    <pic:cNvPicPr>
                      <a:picLocks noChangeAspect="1"/>
                    </pic:cNvPicPr>
                  </pic:nvPicPr>
                  <pic:blipFill>
                    <a:blip r:embed="rId18"/>
                    <a:stretch>
                      <a:fillRect/>
                    </a:stretch>
                  </pic:blipFill>
                  <pic:spPr>
                    <a:xfrm>
                      <a:off x="0" y="0"/>
                      <a:ext cx="5276570" cy="2651092"/>
                    </a:xfrm>
                    <a:prstGeom prst="rect">
                      <a:avLst/>
                    </a:prstGeom>
                  </pic:spPr>
                </pic:pic>
              </a:graphicData>
            </a:graphic>
          </wp:inline>
        </w:drawing>
      </w:r>
    </w:p>
    <w:p w14:paraId="51061A6A">
      <w:pPr>
        <w:widowControl/>
        <w:spacing w:line="360" w:lineRule="exact"/>
        <w:rPr>
          <w:rFonts w:ascii="宋体" w:hAnsi="宋体"/>
          <w:sz w:val="24"/>
          <w:szCs w:val="24"/>
        </w:rPr>
      </w:pPr>
    </w:p>
    <w:p w14:paraId="4D6B30D3">
      <w:pPr>
        <w:pStyle w:val="4"/>
        <w:numPr>
          <w:ilvl w:val="1"/>
          <w:numId w:val="28"/>
        </w:numPr>
        <w:tabs>
          <w:tab w:val="left" w:pos="567"/>
        </w:tabs>
        <w:spacing w:before="0" w:after="0" w:line="300" w:lineRule="auto"/>
        <w:ind w:left="0" w:firstLine="0"/>
        <w:rPr>
          <w:rFonts w:ascii="宋体" w:hAnsi="宋体"/>
          <w:sz w:val="24"/>
          <w:szCs w:val="24"/>
        </w:rPr>
      </w:pPr>
      <w:bookmarkStart w:id="52" w:name="_Toc47951683"/>
      <w:r>
        <w:rPr>
          <w:rFonts w:hint="eastAsia" w:ascii="宋体" w:hAnsi="宋体"/>
          <w:sz w:val="24"/>
          <w:szCs w:val="24"/>
        </w:rPr>
        <w:t>营造主动参与的良好氛围</w:t>
      </w:r>
      <w:bookmarkEnd w:id="52"/>
    </w:p>
    <w:p w14:paraId="243CF83A">
      <w:pPr>
        <w:widowControl/>
        <w:spacing w:line="360" w:lineRule="exact"/>
        <w:ind w:firstLine="480" w:firstLineChars="200"/>
        <w:rPr>
          <w:rFonts w:ascii="宋体" w:hAnsi="宋体"/>
          <w:sz w:val="24"/>
          <w:szCs w:val="24"/>
        </w:rPr>
      </w:pPr>
      <w:r>
        <w:rPr>
          <w:rFonts w:hint="eastAsia" w:ascii="宋体" w:hAnsi="宋体"/>
          <w:sz w:val="24"/>
          <w:szCs w:val="24"/>
        </w:rPr>
        <w:t>群众性质量管理活动坚持“广泛动员、全员参与”原则，以普通一线员工为质量创新的“主力”，将QC小组、合理化建议、5S现场管理作为公司全员质量活动的平台，激发员工参与热情。公司提供各项活动所需的资源，并通过对活动成果评定、认可和激励员工参与质量管理活动的积极性。公司同时关注员工精神方面需求，增加培训考察交流机会，参加各类有益活动，改善工作环境等，营造共同成长的环境，让员工在充满关爱与信任的环境中快乐工作，幸福生活。</w:t>
      </w:r>
    </w:p>
    <w:p w14:paraId="520BA049">
      <w:pPr>
        <w:pStyle w:val="4"/>
        <w:numPr>
          <w:ilvl w:val="1"/>
          <w:numId w:val="28"/>
        </w:numPr>
        <w:tabs>
          <w:tab w:val="left" w:pos="567"/>
        </w:tabs>
        <w:spacing w:before="0" w:after="0" w:line="300" w:lineRule="auto"/>
        <w:ind w:left="0" w:firstLine="0"/>
        <w:rPr>
          <w:rFonts w:ascii="宋体" w:hAnsi="宋体"/>
          <w:sz w:val="24"/>
          <w:szCs w:val="24"/>
        </w:rPr>
      </w:pPr>
      <w:bookmarkStart w:id="53" w:name="_Toc47951684"/>
      <w:r>
        <w:rPr>
          <w:rFonts w:hint="eastAsia" w:ascii="宋体" w:hAnsi="宋体"/>
          <w:sz w:val="24"/>
          <w:szCs w:val="24"/>
        </w:rPr>
        <w:t>员工满意程度测量</w:t>
      </w:r>
      <w:bookmarkEnd w:id="53"/>
    </w:p>
    <w:p w14:paraId="2310FAD8">
      <w:pPr>
        <w:widowControl/>
        <w:spacing w:line="360" w:lineRule="exact"/>
        <w:ind w:firstLine="480" w:firstLineChars="200"/>
        <w:rPr>
          <w:rFonts w:ascii="宋体" w:hAnsi="宋体"/>
          <w:sz w:val="24"/>
          <w:szCs w:val="24"/>
        </w:rPr>
      </w:pPr>
      <w:r>
        <w:rPr>
          <w:rFonts w:hint="eastAsia" w:ascii="宋体" w:hAnsi="宋体"/>
          <w:sz w:val="24"/>
          <w:szCs w:val="24"/>
        </w:rPr>
        <w:t>公司每年均进行员工满意度抽样调查，通过发放员工满意度调查问卷、面谈、员工意见箱等方式收集员工信息，其中满意度调查内容从“培训与发展、工作环境、交流与信息、奖惩与福利、后勤服务”等方面展开，以此了解员工的意见和建议，并分析原因和制定整改措施，以提高员工的满意度。同时，公司每年对员工流失率、安全生产指标进行分析，并以此作为依据制定有针对性的整改措施，以保证员工的最基本利益。 </w:t>
      </w:r>
    </w:p>
    <w:p w14:paraId="4BFC3C4D">
      <w:pPr>
        <w:spacing w:line="300" w:lineRule="auto"/>
        <w:ind w:firstLine="3373" w:firstLineChars="1600"/>
        <w:rPr>
          <w:rFonts w:ascii="宋体" w:hAnsi="宋体"/>
          <w:b/>
          <w:szCs w:val="21"/>
        </w:rPr>
      </w:pPr>
      <w:bookmarkStart w:id="54" w:name="_Hlk145193138"/>
      <w:r>
        <w:rPr>
          <w:rFonts w:hint="eastAsia" w:ascii="宋体" w:hAnsi="宋体"/>
          <w:b/>
          <w:szCs w:val="21"/>
        </w:rPr>
        <w:t>图6</w:t>
      </w:r>
      <w:r>
        <w:rPr>
          <w:rFonts w:ascii="宋体" w:hAnsi="宋体"/>
          <w:b/>
          <w:szCs w:val="21"/>
        </w:rPr>
        <w:t xml:space="preserve"> </w:t>
      </w:r>
      <w:r>
        <w:rPr>
          <w:rFonts w:hint="eastAsia" w:ascii="宋体" w:hAnsi="宋体"/>
          <w:b/>
          <w:szCs w:val="21"/>
        </w:rPr>
        <w:t>员工活动</w:t>
      </w:r>
    </w:p>
    <w:bookmarkEnd w:id="54"/>
    <w:p w14:paraId="46497B0E">
      <w:pPr>
        <w:spacing w:line="360" w:lineRule="auto"/>
        <w:ind w:left="-567" w:leftChars="-270" w:right="-340" w:rightChars="-162"/>
        <w:rPr>
          <w:rFonts w:ascii="宋体" w:hAnsi="宋体"/>
          <w:szCs w:val="21"/>
        </w:rPr>
      </w:pPr>
      <w:r>
        <w:rPr>
          <w:rFonts w:hint="eastAsia" w:ascii="宋体" w:hAnsi="宋体"/>
          <w:szCs w:val="21"/>
        </w:rPr>
        <w:t xml:space="preserve">     </w:t>
      </w:r>
      <w:r>
        <w:rPr>
          <w:rFonts w:ascii="Times New Roman" w:hAnsi="Times New Roman" w:eastAsia="Times New Roman"/>
          <w:snapToGrid w:val="0"/>
          <w:w w:val="0"/>
          <w:kern w:val="0"/>
          <w:sz w:val="0"/>
          <w:szCs w:val="0"/>
          <w:u w:color="000000"/>
          <w:shd w:val="clear" w:color="000000" w:fill="000000"/>
          <w:lang w:val="zh-CN" w:eastAsia="zh-CN" w:bidi="zh-CN"/>
        </w:rPr>
        <w:t xml:space="preserve"> </w:t>
      </w:r>
      <w:r>
        <w:rPr>
          <w:rFonts w:ascii="Times New Roman" w:hAnsi="Times New Roman" w:eastAsia="Times New Roman"/>
          <w:snapToGrid w:val="0"/>
          <w:w w:val="0"/>
          <w:kern w:val="0"/>
          <w:sz w:val="0"/>
          <w:szCs w:val="0"/>
          <w:u w:color="000000"/>
          <w:shd w:val="clear" w:color="000000" w:fill="000000"/>
          <w:lang w:val="zh-CN" w:eastAsia="zh-CN" w:bidi="zh-CN"/>
        </w:rPr>
        <w:drawing>
          <wp:inline distT="0" distB="0" distL="0" distR="0">
            <wp:extent cx="5759450" cy="2641600"/>
            <wp:effectExtent l="0" t="0" r="0" b="6350"/>
            <wp:docPr id="1639199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9910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9450" cy="2641600"/>
                    </a:xfrm>
                    <a:prstGeom prst="rect">
                      <a:avLst/>
                    </a:prstGeom>
                    <a:noFill/>
                    <a:ln>
                      <a:noFill/>
                    </a:ln>
                  </pic:spPr>
                </pic:pic>
              </a:graphicData>
            </a:graphic>
          </wp:inline>
        </w:drawing>
      </w:r>
    </w:p>
    <w:p w14:paraId="0C029C02">
      <w:pPr>
        <w:pStyle w:val="3"/>
        <w:numPr>
          <w:ilvl w:val="0"/>
          <w:numId w:val="23"/>
        </w:numPr>
        <w:spacing w:before="0" w:after="0" w:line="300" w:lineRule="auto"/>
        <w:rPr>
          <w:sz w:val="28"/>
          <w:szCs w:val="28"/>
        </w:rPr>
      </w:pPr>
      <w:bookmarkStart w:id="55" w:name="_Toc47951685"/>
      <w:r>
        <w:rPr>
          <w:rFonts w:hint="eastAsia"/>
          <w:sz w:val="28"/>
          <w:szCs w:val="28"/>
        </w:rPr>
        <w:t>捐赠和回馈社会</w:t>
      </w:r>
      <w:bookmarkEnd w:id="55"/>
    </w:p>
    <w:p w14:paraId="5B27BCFC">
      <w:pPr>
        <w:widowControl/>
        <w:spacing w:line="360" w:lineRule="exact"/>
        <w:ind w:firstLine="480" w:firstLineChars="200"/>
        <w:rPr>
          <w:rFonts w:ascii="宋体" w:hAnsi="宋体"/>
          <w:sz w:val="24"/>
          <w:szCs w:val="24"/>
        </w:rPr>
      </w:pPr>
      <w:r>
        <w:rPr>
          <w:rFonts w:hint="eastAsia" w:ascii="宋体" w:hAnsi="宋体"/>
          <w:sz w:val="24"/>
          <w:szCs w:val="24"/>
        </w:rPr>
        <w:t>多年来，三思永恒科技（浙江）有限公司在经营好企业、布局发展战略，对内加强安全、环保建设的同时，通过各种形式，对外积极回报社会，响应政府号召，积极参与公益活动，包括支持地方教育、慈善捐赠和服务、对口扶贫活动等。</w:t>
      </w:r>
      <w:bookmarkStart w:id="56" w:name="_Hlk122207566"/>
      <w:r>
        <w:rPr>
          <w:rFonts w:hint="eastAsia" w:ascii="宋体" w:hAnsi="宋体"/>
          <w:sz w:val="24"/>
          <w:szCs w:val="24"/>
        </w:rPr>
        <w:t>对口扶贫和慈善捐赠</w:t>
      </w:r>
      <w:bookmarkEnd w:id="56"/>
      <w:r>
        <w:rPr>
          <w:rFonts w:hint="eastAsia" w:ascii="宋体" w:hAnsi="宋体"/>
          <w:sz w:val="24"/>
          <w:szCs w:val="24"/>
        </w:rPr>
        <w:t>是公司公益事业的主要内容之一；此外公司还组织了</w:t>
      </w:r>
      <w:bookmarkStart w:id="57" w:name="_Hlk122207542"/>
      <w:r>
        <w:rPr>
          <w:rFonts w:hint="eastAsia" w:ascii="宋体" w:hAnsi="宋体"/>
          <w:sz w:val="24"/>
          <w:szCs w:val="24"/>
        </w:rPr>
        <w:t>老弱病残援助、困难帮扶</w:t>
      </w:r>
      <w:bookmarkEnd w:id="57"/>
      <w:r>
        <w:rPr>
          <w:rFonts w:hint="eastAsia" w:ascii="宋体" w:hAnsi="宋体"/>
          <w:sz w:val="24"/>
          <w:szCs w:val="24"/>
        </w:rPr>
        <w:t>、疫情物资捐赠等活动。</w:t>
      </w:r>
    </w:p>
    <w:p w14:paraId="1E89FB99">
      <w:pPr>
        <w:widowControl/>
        <w:spacing w:line="360" w:lineRule="exact"/>
        <w:ind w:firstLine="480" w:firstLineChars="200"/>
        <w:rPr>
          <w:rFonts w:ascii="宋体" w:hAnsi="宋体"/>
          <w:sz w:val="24"/>
          <w:szCs w:val="24"/>
        </w:rPr>
      </w:pPr>
      <w:r>
        <w:rPr>
          <w:rFonts w:hint="eastAsia" w:ascii="宋体" w:hAnsi="宋体"/>
          <w:sz w:val="24"/>
          <w:szCs w:val="24"/>
        </w:rPr>
        <w:t>部分公益投入详见表8：</w:t>
      </w:r>
    </w:p>
    <w:p w14:paraId="2E85CD36">
      <w:pPr>
        <w:widowControl/>
        <w:spacing w:line="300" w:lineRule="auto"/>
        <w:jc w:val="left"/>
        <w:rPr>
          <w:rFonts w:ascii="宋体" w:hAnsi="宋体"/>
          <w:b/>
          <w:szCs w:val="21"/>
        </w:rPr>
      </w:pPr>
      <w:r>
        <w:rPr>
          <w:rFonts w:hint="eastAsia" w:ascii="宋体" w:hAnsi="宋体"/>
          <w:b/>
          <w:szCs w:val="21"/>
        </w:rPr>
        <w:t xml:space="preserve">表8                        </w:t>
      </w:r>
      <w:r>
        <w:rPr>
          <w:rFonts w:ascii="宋体" w:hAnsi="宋体"/>
          <w:b/>
          <w:szCs w:val="21"/>
        </w:rPr>
        <w:t xml:space="preserve">      </w:t>
      </w:r>
      <w:r>
        <w:rPr>
          <w:rFonts w:hint="eastAsia" w:ascii="宋体" w:hAnsi="宋体"/>
          <w:b/>
          <w:szCs w:val="21"/>
        </w:rPr>
        <w:t xml:space="preserve"> 社会公益投入（部分）</w:t>
      </w:r>
    </w:p>
    <w:tbl>
      <w:tblPr>
        <w:tblStyle w:val="17"/>
        <w:tblW w:w="87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
      <w:tblGrid>
        <w:gridCol w:w="6927"/>
        <w:gridCol w:w="1853"/>
      </w:tblGrid>
      <w:tr w14:paraId="5D1E11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429" w:hRule="exact"/>
        </w:trPr>
        <w:tc>
          <w:tcPr>
            <w:tcW w:w="6927" w:type="dxa"/>
            <w:tcBorders>
              <w:bottom w:val="single" w:color="000000" w:sz="4" w:space="0"/>
              <w:right w:val="single" w:color="000000" w:sz="4" w:space="0"/>
            </w:tcBorders>
            <w:shd w:val="clear" w:color="auto" w:fill="auto"/>
            <w:vAlign w:val="center"/>
          </w:tcPr>
          <w:p w14:paraId="28A7083B">
            <w:pPr>
              <w:spacing w:line="240" w:lineRule="exact"/>
              <w:jc w:val="center"/>
              <w:rPr>
                <w:rFonts w:ascii="宋体" w:hAnsi="宋体" w:cs="微软雅黑"/>
                <w:b/>
                <w:bCs/>
                <w:szCs w:val="21"/>
              </w:rPr>
            </w:pPr>
            <w:bookmarkStart w:id="58" w:name="_Hlk122207578"/>
            <w:r>
              <w:rPr>
                <w:rFonts w:hint="eastAsia" w:ascii="宋体" w:hAnsi="宋体" w:cs="微软雅黑"/>
                <w:b/>
                <w:bCs/>
                <w:szCs w:val="21"/>
              </w:rPr>
              <w:t>公益项目</w:t>
            </w:r>
          </w:p>
        </w:tc>
        <w:tc>
          <w:tcPr>
            <w:tcW w:w="1853" w:type="dxa"/>
            <w:tcBorders>
              <w:left w:val="single" w:color="000000" w:sz="4" w:space="0"/>
              <w:bottom w:val="single" w:color="000000" w:sz="4" w:space="0"/>
            </w:tcBorders>
            <w:shd w:val="clear" w:color="auto" w:fill="auto"/>
            <w:vAlign w:val="center"/>
          </w:tcPr>
          <w:p w14:paraId="2AF39168">
            <w:pPr>
              <w:spacing w:line="240" w:lineRule="exact"/>
              <w:jc w:val="center"/>
              <w:rPr>
                <w:rFonts w:ascii="宋体" w:hAnsi="宋体" w:cs="微软雅黑"/>
                <w:b/>
                <w:bCs/>
                <w:szCs w:val="21"/>
              </w:rPr>
            </w:pPr>
            <w:r>
              <w:rPr>
                <w:rFonts w:hint="eastAsia" w:ascii="宋体" w:hAnsi="宋体" w:cs="微软雅黑"/>
                <w:b/>
                <w:bCs/>
                <w:szCs w:val="21"/>
              </w:rPr>
              <w:t>金额（元）</w:t>
            </w:r>
          </w:p>
        </w:tc>
      </w:tr>
      <w:tr w14:paraId="57A74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92" w:hRule="exact"/>
        </w:trPr>
        <w:tc>
          <w:tcPr>
            <w:tcW w:w="6927" w:type="dxa"/>
            <w:tcBorders>
              <w:top w:val="single" w:color="000000" w:sz="4" w:space="0"/>
              <w:bottom w:val="single" w:color="000000" w:sz="4" w:space="0"/>
              <w:right w:val="single" w:color="000000" w:sz="4" w:space="0"/>
            </w:tcBorders>
            <w:shd w:val="clear" w:color="auto" w:fill="auto"/>
            <w:vAlign w:val="center"/>
          </w:tcPr>
          <w:p w14:paraId="65992450">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2021年3月困难援助（王永梅）</w:t>
            </w:r>
          </w:p>
        </w:tc>
        <w:tc>
          <w:tcPr>
            <w:tcW w:w="1853" w:type="dxa"/>
            <w:tcBorders>
              <w:top w:val="single" w:color="000000" w:sz="4" w:space="0"/>
              <w:left w:val="single" w:color="000000" w:sz="4" w:space="0"/>
              <w:bottom w:val="single" w:color="000000" w:sz="4" w:space="0"/>
            </w:tcBorders>
            <w:shd w:val="clear" w:color="auto" w:fill="auto"/>
            <w:vAlign w:val="center"/>
          </w:tcPr>
          <w:p w14:paraId="3F1304AD">
            <w:pPr>
              <w:spacing w:line="240" w:lineRule="exact"/>
              <w:jc w:val="center"/>
              <w:rPr>
                <w:rFonts w:cs="微软雅黑" w:asciiTheme="minorEastAsia" w:hAnsiTheme="minorEastAsia"/>
                <w:sz w:val="18"/>
                <w:szCs w:val="18"/>
              </w:rPr>
            </w:pPr>
            <w:r>
              <w:rPr>
                <w:rFonts w:hint="eastAsia" w:cs="微软雅黑" w:asciiTheme="minorEastAsia" w:hAnsiTheme="minorEastAsia"/>
                <w:sz w:val="18"/>
                <w:szCs w:val="18"/>
              </w:rPr>
              <w:t>2000</w:t>
            </w:r>
          </w:p>
        </w:tc>
      </w:tr>
      <w:tr w14:paraId="1BCA6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65" w:hRule="exact"/>
        </w:trPr>
        <w:tc>
          <w:tcPr>
            <w:tcW w:w="6927" w:type="dxa"/>
            <w:tcBorders>
              <w:top w:val="single" w:color="000000" w:sz="4" w:space="0"/>
              <w:bottom w:val="single" w:color="000000" w:sz="4" w:space="0"/>
              <w:right w:val="single" w:color="000000" w:sz="4" w:space="0"/>
            </w:tcBorders>
            <w:shd w:val="clear" w:color="auto" w:fill="auto"/>
            <w:vAlign w:val="center"/>
          </w:tcPr>
          <w:p w14:paraId="4712D1A2">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2021年8月16日 支援随县柳林抗洪救灾</w:t>
            </w:r>
          </w:p>
        </w:tc>
        <w:tc>
          <w:tcPr>
            <w:tcW w:w="1853" w:type="dxa"/>
            <w:tcBorders>
              <w:top w:val="single" w:color="000000" w:sz="4" w:space="0"/>
              <w:left w:val="single" w:color="000000" w:sz="4" w:space="0"/>
              <w:bottom w:val="single" w:color="000000" w:sz="4" w:space="0"/>
            </w:tcBorders>
            <w:shd w:val="clear" w:color="auto" w:fill="auto"/>
            <w:vAlign w:val="center"/>
          </w:tcPr>
          <w:p w14:paraId="38010FDD">
            <w:pPr>
              <w:spacing w:line="240" w:lineRule="exact"/>
              <w:jc w:val="center"/>
              <w:rPr>
                <w:rFonts w:cs="微软雅黑" w:asciiTheme="minorEastAsia" w:hAnsiTheme="minorEastAsia"/>
                <w:sz w:val="18"/>
                <w:szCs w:val="18"/>
              </w:rPr>
            </w:pPr>
            <w:r>
              <w:rPr>
                <w:rFonts w:hint="eastAsia" w:cs="微软雅黑" w:asciiTheme="minorEastAsia" w:hAnsiTheme="minorEastAsia"/>
                <w:sz w:val="18"/>
                <w:szCs w:val="18"/>
              </w:rPr>
              <w:t>1000</w:t>
            </w:r>
          </w:p>
        </w:tc>
      </w:tr>
      <w:tr w14:paraId="2C8B18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64" w:hRule="exact"/>
        </w:trPr>
        <w:tc>
          <w:tcPr>
            <w:tcW w:w="6927" w:type="dxa"/>
            <w:tcBorders>
              <w:top w:val="single" w:color="000000" w:sz="4" w:space="0"/>
              <w:bottom w:val="single" w:color="000000" w:sz="4" w:space="0"/>
              <w:right w:val="single" w:color="000000" w:sz="4" w:space="0"/>
            </w:tcBorders>
            <w:shd w:val="clear" w:color="auto" w:fill="auto"/>
            <w:vAlign w:val="center"/>
          </w:tcPr>
          <w:p w14:paraId="3FCCF8AD">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2023年5月 22日 北仑慈善总会</w:t>
            </w:r>
          </w:p>
        </w:tc>
        <w:tc>
          <w:tcPr>
            <w:tcW w:w="1853" w:type="dxa"/>
            <w:tcBorders>
              <w:top w:val="single" w:color="000000" w:sz="4" w:space="0"/>
              <w:left w:val="single" w:color="000000" w:sz="4" w:space="0"/>
              <w:bottom w:val="single" w:color="000000" w:sz="4" w:space="0"/>
            </w:tcBorders>
            <w:shd w:val="clear" w:color="auto" w:fill="auto"/>
            <w:vAlign w:val="center"/>
          </w:tcPr>
          <w:p w14:paraId="356CDDF0">
            <w:pPr>
              <w:spacing w:line="240" w:lineRule="exact"/>
              <w:jc w:val="center"/>
              <w:rPr>
                <w:rFonts w:cs="微软雅黑" w:asciiTheme="minorEastAsia" w:hAnsiTheme="minorEastAsia"/>
                <w:sz w:val="18"/>
                <w:szCs w:val="18"/>
              </w:rPr>
            </w:pPr>
            <w:r>
              <w:rPr>
                <w:rFonts w:hint="eastAsia" w:cs="微软雅黑" w:asciiTheme="minorEastAsia" w:hAnsiTheme="minorEastAsia"/>
                <w:sz w:val="18"/>
                <w:szCs w:val="18"/>
              </w:rPr>
              <w:t>2000</w:t>
            </w:r>
          </w:p>
        </w:tc>
      </w:tr>
      <w:tr w14:paraId="778682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92" w:hRule="exact"/>
        </w:trPr>
        <w:tc>
          <w:tcPr>
            <w:tcW w:w="6927" w:type="dxa"/>
            <w:tcBorders>
              <w:top w:val="single" w:color="000000" w:sz="4" w:space="0"/>
              <w:bottom w:val="single" w:color="000000" w:sz="4" w:space="0"/>
              <w:right w:val="single" w:color="000000" w:sz="4" w:space="0"/>
            </w:tcBorders>
            <w:shd w:val="clear" w:color="auto" w:fill="auto"/>
            <w:vAlign w:val="center"/>
          </w:tcPr>
          <w:p w14:paraId="6F473227">
            <w:pPr>
              <w:spacing w:line="240" w:lineRule="exact"/>
              <w:jc w:val="center"/>
              <w:rPr>
                <w:rFonts w:cs="微软雅黑" w:asciiTheme="minorEastAsia" w:hAnsiTheme="minorEastAsia"/>
                <w:sz w:val="18"/>
                <w:szCs w:val="18"/>
              </w:rPr>
            </w:pPr>
            <w:r>
              <w:rPr>
                <w:rFonts w:hint="eastAsia" w:cs="微软雅黑" w:asciiTheme="minorEastAsia" w:hAnsiTheme="minorEastAsia"/>
                <w:b/>
                <w:bCs/>
                <w:sz w:val="18"/>
                <w:szCs w:val="18"/>
              </w:rPr>
              <w:t xml:space="preserve">合 </w:t>
            </w:r>
            <w:r>
              <w:rPr>
                <w:rFonts w:cs="微软雅黑" w:asciiTheme="minorEastAsia" w:hAnsiTheme="minorEastAsia"/>
                <w:b/>
                <w:bCs/>
                <w:sz w:val="18"/>
                <w:szCs w:val="18"/>
              </w:rPr>
              <w:t xml:space="preserve"> </w:t>
            </w:r>
            <w:r>
              <w:rPr>
                <w:rFonts w:hint="eastAsia" w:cs="微软雅黑" w:asciiTheme="minorEastAsia" w:hAnsiTheme="minorEastAsia"/>
                <w:b/>
                <w:bCs/>
                <w:sz w:val="18"/>
                <w:szCs w:val="18"/>
              </w:rPr>
              <w:t>计</w:t>
            </w:r>
          </w:p>
        </w:tc>
        <w:tc>
          <w:tcPr>
            <w:tcW w:w="1853" w:type="dxa"/>
            <w:tcBorders>
              <w:top w:val="single" w:color="000000" w:sz="4" w:space="0"/>
              <w:left w:val="single" w:color="000000" w:sz="4" w:space="0"/>
              <w:bottom w:val="single" w:color="000000" w:sz="4" w:space="0"/>
            </w:tcBorders>
            <w:shd w:val="clear" w:color="auto" w:fill="auto"/>
            <w:vAlign w:val="center"/>
          </w:tcPr>
          <w:p w14:paraId="195BF303">
            <w:pPr>
              <w:spacing w:line="240" w:lineRule="exact"/>
              <w:jc w:val="center"/>
              <w:rPr>
                <w:rFonts w:cs="微软雅黑" w:asciiTheme="minorEastAsia" w:hAnsiTheme="minorEastAsia"/>
                <w:sz w:val="18"/>
                <w:szCs w:val="18"/>
              </w:rPr>
            </w:pPr>
            <w:r>
              <w:rPr>
                <w:rFonts w:hint="eastAsia" w:cs="微软雅黑" w:asciiTheme="minorEastAsia" w:hAnsiTheme="minorEastAsia"/>
                <w:b/>
                <w:bCs/>
                <w:sz w:val="18"/>
                <w:szCs w:val="18"/>
              </w:rPr>
              <w:t>5</w:t>
            </w:r>
            <w:r>
              <w:rPr>
                <w:rFonts w:cs="微软雅黑" w:asciiTheme="minorEastAsia" w:hAnsiTheme="minorEastAsia"/>
                <w:b/>
                <w:bCs/>
                <w:sz w:val="18"/>
                <w:szCs w:val="18"/>
              </w:rPr>
              <w:t>000</w:t>
            </w:r>
          </w:p>
        </w:tc>
      </w:tr>
      <w:bookmarkEnd w:id="58"/>
    </w:tbl>
    <w:p w14:paraId="483C732C">
      <w:pPr>
        <w:pStyle w:val="2"/>
        <w:numPr>
          <w:ilvl w:val="0"/>
          <w:numId w:val="1"/>
        </w:numPr>
        <w:tabs>
          <w:tab w:val="left" w:pos="567"/>
        </w:tabs>
        <w:spacing w:before="0" w:after="0" w:line="300" w:lineRule="auto"/>
        <w:ind w:left="0" w:firstLine="0"/>
        <w:jc w:val="left"/>
        <w:rPr>
          <w:rFonts w:ascii="宋体" w:hAnsi="宋体"/>
          <w:sz w:val="32"/>
          <w:szCs w:val="32"/>
        </w:rPr>
      </w:pPr>
      <w:bookmarkStart w:id="59" w:name="_Toc8221287"/>
      <w:bookmarkStart w:id="60" w:name="_Toc47951686"/>
      <w:r>
        <w:rPr>
          <w:rFonts w:hint="eastAsia" w:ascii="宋体" w:hAnsi="宋体"/>
          <w:sz w:val="32"/>
          <w:szCs w:val="32"/>
        </w:rPr>
        <w:t>社会认可  </w:t>
      </w:r>
      <w:bookmarkEnd w:id="59"/>
      <w:bookmarkEnd w:id="60"/>
    </w:p>
    <w:p w14:paraId="521B2F02">
      <w:pPr>
        <w:widowControl/>
        <w:spacing w:line="360" w:lineRule="exact"/>
        <w:ind w:firstLine="480" w:firstLineChars="200"/>
        <w:rPr>
          <w:rFonts w:ascii="宋体" w:hAnsi="宋体"/>
          <w:sz w:val="24"/>
          <w:szCs w:val="24"/>
        </w:rPr>
      </w:pPr>
      <w:r>
        <w:rPr>
          <w:rFonts w:hint="eastAsia" w:ascii="宋体" w:hAnsi="宋体"/>
          <w:sz w:val="24"/>
          <w:szCs w:val="24"/>
        </w:rPr>
        <w:t>近几年以来，三思永恒科技（浙江）有限公司全体员工经过努力工作，各项事业得到蓬勃发展，先后取得社会的各种肯定和表彰，获得多项荣誉称号（见表9）。</w:t>
      </w:r>
    </w:p>
    <w:p w14:paraId="77E73943">
      <w:pPr>
        <w:widowControl/>
        <w:spacing w:line="300" w:lineRule="auto"/>
        <w:jc w:val="left"/>
        <w:rPr>
          <w:rFonts w:ascii="宋体" w:hAnsi="宋体"/>
          <w:b/>
          <w:szCs w:val="21"/>
        </w:rPr>
      </w:pPr>
      <w:r>
        <w:rPr>
          <w:rFonts w:hint="eastAsia" w:ascii="宋体" w:hAnsi="宋体"/>
          <w:b/>
          <w:szCs w:val="21"/>
        </w:rPr>
        <w:t>表9                         公司荣获的部分荣誉称号</w:t>
      </w:r>
    </w:p>
    <w:tbl>
      <w:tblPr>
        <w:tblStyle w:val="17"/>
        <w:tblW w:w="920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09"/>
        <w:gridCol w:w="5101"/>
        <w:gridCol w:w="2382"/>
        <w:gridCol w:w="1209"/>
      </w:tblGrid>
      <w:tr w14:paraId="32B012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blHeader/>
          <w:jc w:val="center"/>
        </w:trPr>
        <w:tc>
          <w:tcPr>
            <w:tcW w:w="509" w:type="dxa"/>
            <w:tcBorders>
              <w:top w:val="single" w:color="auto" w:sz="4" w:space="0"/>
              <w:left w:val="single" w:color="auto" w:sz="4" w:space="0"/>
              <w:bottom w:val="single" w:color="auto" w:sz="4" w:space="0"/>
              <w:right w:val="single" w:color="auto" w:sz="4" w:space="0"/>
            </w:tcBorders>
            <w:shd w:val="clear" w:color="auto" w:fill="auto"/>
            <w:vAlign w:val="center"/>
          </w:tcPr>
          <w:p w14:paraId="76028247">
            <w:pPr>
              <w:widowControl/>
              <w:jc w:val="center"/>
              <w:rPr>
                <w:rFonts w:ascii="宋体" w:hAnsi="宋体"/>
                <w:b/>
                <w:szCs w:val="21"/>
              </w:rPr>
            </w:pPr>
            <w:r>
              <w:rPr>
                <w:rFonts w:hint="eastAsia" w:ascii="宋体" w:hAnsi="宋体"/>
                <w:b/>
                <w:szCs w:val="21"/>
              </w:rPr>
              <w:t>序号</w:t>
            </w:r>
          </w:p>
        </w:tc>
        <w:tc>
          <w:tcPr>
            <w:tcW w:w="5101" w:type="dxa"/>
            <w:tcBorders>
              <w:top w:val="single" w:color="auto" w:sz="4" w:space="0"/>
              <w:left w:val="single" w:color="auto" w:sz="4" w:space="0"/>
              <w:bottom w:val="single" w:color="auto" w:sz="4" w:space="0"/>
              <w:right w:val="single" w:color="auto" w:sz="4" w:space="0"/>
            </w:tcBorders>
            <w:shd w:val="clear" w:color="auto" w:fill="auto"/>
            <w:vAlign w:val="center"/>
          </w:tcPr>
          <w:p w14:paraId="594CC857">
            <w:pPr>
              <w:widowControl/>
              <w:jc w:val="center"/>
              <w:rPr>
                <w:rFonts w:ascii="宋体" w:hAnsi="宋体"/>
                <w:b/>
                <w:szCs w:val="21"/>
              </w:rPr>
            </w:pPr>
            <w:r>
              <w:rPr>
                <w:rFonts w:hint="eastAsia" w:ascii="宋体" w:hAnsi="宋体"/>
                <w:b/>
                <w:szCs w:val="21"/>
              </w:rPr>
              <w:t>荣誉名称</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14:paraId="71AE96D5">
            <w:pPr>
              <w:widowControl/>
              <w:jc w:val="center"/>
              <w:rPr>
                <w:rFonts w:ascii="宋体" w:hAnsi="宋体"/>
                <w:b/>
                <w:szCs w:val="21"/>
              </w:rPr>
            </w:pPr>
            <w:r>
              <w:rPr>
                <w:rFonts w:hint="eastAsia" w:ascii="宋体" w:hAnsi="宋体"/>
                <w:b/>
                <w:szCs w:val="21"/>
              </w:rPr>
              <w:t>颁发部门</w:t>
            </w:r>
          </w:p>
        </w:tc>
        <w:tc>
          <w:tcPr>
            <w:tcW w:w="1209" w:type="dxa"/>
            <w:tcBorders>
              <w:top w:val="single" w:color="auto" w:sz="4" w:space="0"/>
              <w:left w:val="single" w:color="auto" w:sz="4" w:space="0"/>
              <w:bottom w:val="single" w:color="auto" w:sz="4" w:space="0"/>
              <w:right w:val="single" w:color="auto" w:sz="4" w:space="0"/>
            </w:tcBorders>
            <w:shd w:val="clear" w:color="auto" w:fill="auto"/>
            <w:vAlign w:val="center"/>
          </w:tcPr>
          <w:p w14:paraId="51DD526D">
            <w:pPr>
              <w:widowControl/>
              <w:jc w:val="center"/>
              <w:rPr>
                <w:rFonts w:ascii="宋体" w:hAnsi="宋体"/>
                <w:b/>
                <w:szCs w:val="21"/>
              </w:rPr>
            </w:pPr>
            <w:r>
              <w:rPr>
                <w:rFonts w:hint="eastAsia" w:ascii="宋体" w:hAnsi="宋体"/>
                <w:b/>
                <w:szCs w:val="21"/>
              </w:rPr>
              <w:t>授予时间</w:t>
            </w:r>
          </w:p>
        </w:tc>
      </w:tr>
      <w:tr w14:paraId="2764FD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14:paraId="27D26364">
            <w:pPr>
              <w:adjustRightInd w:val="0"/>
              <w:snapToGrid w:val="0"/>
              <w:spacing w:line="320" w:lineRule="exact"/>
              <w:jc w:val="center"/>
              <w:rPr>
                <w:rFonts w:ascii="宋体" w:hAnsi="宋体"/>
                <w:sz w:val="18"/>
                <w:szCs w:val="18"/>
              </w:rPr>
            </w:pPr>
            <w:r>
              <w:rPr>
                <w:rFonts w:hint="eastAsia" w:ascii="宋体" w:hAnsi="宋体"/>
                <w:sz w:val="18"/>
                <w:szCs w:val="18"/>
              </w:rPr>
              <w:t>1</w:t>
            </w:r>
          </w:p>
        </w:tc>
        <w:tc>
          <w:tcPr>
            <w:tcW w:w="5101" w:type="dxa"/>
            <w:tcBorders>
              <w:top w:val="single" w:color="auto" w:sz="4" w:space="0"/>
              <w:left w:val="single" w:color="auto" w:sz="4" w:space="0"/>
              <w:bottom w:val="single" w:color="auto" w:sz="4" w:space="0"/>
              <w:right w:val="single" w:color="auto" w:sz="4" w:space="0"/>
            </w:tcBorders>
            <w:vAlign w:val="center"/>
          </w:tcPr>
          <w:p w14:paraId="4D3BB8A3">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宁波国家高新区（新材料科技城）2019年第一批优质创新创业项目立项</w:t>
            </w:r>
          </w:p>
        </w:tc>
        <w:tc>
          <w:tcPr>
            <w:tcW w:w="2382" w:type="dxa"/>
            <w:tcBorders>
              <w:top w:val="single" w:color="auto" w:sz="4" w:space="0"/>
              <w:left w:val="single" w:color="auto" w:sz="4" w:space="0"/>
              <w:bottom w:val="single" w:color="auto" w:sz="4" w:space="0"/>
              <w:right w:val="single" w:color="auto" w:sz="4" w:space="0"/>
            </w:tcBorders>
            <w:vAlign w:val="center"/>
          </w:tcPr>
          <w:p w14:paraId="07271FBB">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宁波国家高新区科学技术局</w:t>
            </w:r>
          </w:p>
        </w:tc>
        <w:tc>
          <w:tcPr>
            <w:tcW w:w="1209" w:type="dxa"/>
            <w:tcBorders>
              <w:top w:val="single" w:color="auto" w:sz="4" w:space="0"/>
              <w:left w:val="single" w:color="auto" w:sz="4" w:space="0"/>
              <w:bottom w:val="single" w:color="auto" w:sz="4" w:space="0"/>
              <w:right w:val="single" w:color="auto" w:sz="4" w:space="0"/>
            </w:tcBorders>
            <w:vAlign w:val="center"/>
          </w:tcPr>
          <w:p w14:paraId="02F90C99">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2019.3</w:t>
            </w:r>
          </w:p>
        </w:tc>
      </w:tr>
      <w:tr w14:paraId="5FCC4E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14:paraId="686C98B3">
            <w:pPr>
              <w:adjustRightInd w:val="0"/>
              <w:snapToGrid w:val="0"/>
              <w:spacing w:line="320" w:lineRule="exact"/>
              <w:jc w:val="center"/>
              <w:rPr>
                <w:rFonts w:ascii="宋体" w:hAnsi="宋体"/>
                <w:sz w:val="18"/>
                <w:szCs w:val="18"/>
              </w:rPr>
            </w:pPr>
            <w:r>
              <w:rPr>
                <w:rFonts w:hint="eastAsia" w:ascii="宋体" w:hAnsi="宋体"/>
                <w:sz w:val="18"/>
                <w:szCs w:val="18"/>
              </w:rPr>
              <w:t>2</w:t>
            </w:r>
          </w:p>
        </w:tc>
        <w:tc>
          <w:tcPr>
            <w:tcW w:w="5101" w:type="dxa"/>
            <w:tcBorders>
              <w:top w:val="single" w:color="auto" w:sz="4" w:space="0"/>
              <w:left w:val="single" w:color="auto" w:sz="4" w:space="0"/>
              <w:bottom w:val="single" w:color="auto" w:sz="4" w:space="0"/>
              <w:right w:val="single" w:color="auto" w:sz="4" w:space="0"/>
            </w:tcBorders>
            <w:vAlign w:val="center"/>
          </w:tcPr>
          <w:p w14:paraId="292AF474">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第九届我心目中的宁波品牌评选活动 获得最具创新品牌</w:t>
            </w:r>
          </w:p>
        </w:tc>
        <w:tc>
          <w:tcPr>
            <w:tcW w:w="2382" w:type="dxa"/>
            <w:tcBorders>
              <w:top w:val="single" w:color="auto" w:sz="4" w:space="0"/>
              <w:left w:val="single" w:color="auto" w:sz="4" w:space="0"/>
              <w:bottom w:val="single" w:color="auto" w:sz="4" w:space="0"/>
              <w:right w:val="single" w:color="auto" w:sz="4" w:space="0"/>
            </w:tcBorders>
            <w:vAlign w:val="center"/>
          </w:tcPr>
          <w:p w14:paraId="6FF0CF6B">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宁波品牌双评选活动组委会</w:t>
            </w:r>
          </w:p>
        </w:tc>
        <w:tc>
          <w:tcPr>
            <w:tcW w:w="1209" w:type="dxa"/>
            <w:tcBorders>
              <w:top w:val="single" w:color="auto" w:sz="4" w:space="0"/>
              <w:left w:val="single" w:color="auto" w:sz="4" w:space="0"/>
              <w:bottom w:val="single" w:color="auto" w:sz="4" w:space="0"/>
              <w:right w:val="single" w:color="auto" w:sz="4" w:space="0"/>
            </w:tcBorders>
            <w:vAlign w:val="center"/>
          </w:tcPr>
          <w:p w14:paraId="04522E71">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2020.</w:t>
            </w:r>
            <w:r>
              <w:rPr>
                <w:rFonts w:cs="微软雅黑" w:asciiTheme="minorEastAsia" w:hAnsiTheme="minorEastAsia"/>
                <w:sz w:val="18"/>
                <w:szCs w:val="18"/>
              </w:rPr>
              <w:t>1</w:t>
            </w:r>
          </w:p>
        </w:tc>
      </w:tr>
      <w:tr w14:paraId="0A2EFC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4"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14:paraId="3BE05690">
            <w:pPr>
              <w:adjustRightInd w:val="0"/>
              <w:snapToGrid w:val="0"/>
              <w:spacing w:line="320" w:lineRule="exact"/>
              <w:jc w:val="center"/>
              <w:rPr>
                <w:rFonts w:ascii="宋体" w:hAnsi="宋体"/>
                <w:sz w:val="18"/>
                <w:szCs w:val="18"/>
              </w:rPr>
            </w:pPr>
            <w:r>
              <w:rPr>
                <w:rFonts w:ascii="宋体" w:hAnsi="宋体"/>
                <w:sz w:val="18"/>
                <w:szCs w:val="18"/>
              </w:rPr>
              <w:t>3</w:t>
            </w:r>
          </w:p>
        </w:tc>
        <w:tc>
          <w:tcPr>
            <w:tcW w:w="5101" w:type="dxa"/>
            <w:tcBorders>
              <w:top w:val="single" w:color="auto" w:sz="4" w:space="0"/>
              <w:left w:val="single" w:color="auto" w:sz="4" w:space="0"/>
              <w:bottom w:val="single" w:color="auto" w:sz="4" w:space="0"/>
              <w:right w:val="single" w:color="auto" w:sz="4" w:space="0"/>
            </w:tcBorders>
            <w:vAlign w:val="center"/>
          </w:tcPr>
          <w:p w14:paraId="2865A4F6">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第12届我心目中的宁波品牌评选活动 熊红波荣获品牌年度行业杰出人物奖</w:t>
            </w:r>
          </w:p>
        </w:tc>
        <w:tc>
          <w:tcPr>
            <w:tcW w:w="2382" w:type="dxa"/>
            <w:tcBorders>
              <w:top w:val="single" w:color="auto" w:sz="4" w:space="0"/>
              <w:left w:val="single" w:color="auto" w:sz="4" w:space="0"/>
              <w:bottom w:val="single" w:color="auto" w:sz="4" w:space="0"/>
              <w:right w:val="single" w:color="auto" w:sz="4" w:space="0"/>
            </w:tcBorders>
            <w:vAlign w:val="center"/>
          </w:tcPr>
          <w:p w14:paraId="5E763241">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宁波品牌双评选活动组委会</w:t>
            </w:r>
          </w:p>
        </w:tc>
        <w:tc>
          <w:tcPr>
            <w:tcW w:w="1209" w:type="dxa"/>
            <w:tcBorders>
              <w:top w:val="single" w:color="auto" w:sz="4" w:space="0"/>
              <w:left w:val="single" w:color="auto" w:sz="4" w:space="0"/>
              <w:bottom w:val="single" w:color="auto" w:sz="4" w:space="0"/>
              <w:right w:val="single" w:color="auto" w:sz="4" w:space="0"/>
            </w:tcBorders>
            <w:vAlign w:val="center"/>
          </w:tcPr>
          <w:p w14:paraId="7772CCFD">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2023.9</w:t>
            </w:r>
          </w:p>
        </w:tc>
      </w:tr>
      <w:tr w14:paraId="0EF5C4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1"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14:paraId="47A8C81D">
            <w:pPr>
              <w:adjustRightInd w:val="0"/>
              <w:snapToGrid w:val="0"/>
              <w:spacing w:line="320" w:lineRule="exact"/>
              <w:jc w:val="center"/>
              <w:rPr>
                <w:rFonts w:ascii="宋体" w:hAnsi="宋体"/>
                <w:sz w:val="18"/>
                <w:szCs w:val="18"/>
              </w:rPr>
            </w:pPr>
            <w:r>
              <w:rPr>
                <w:rFonts w:ascii="宋体" w:hAnsi="宋体"/>
                <w:sz w:val="18"/>
                <w:szCs w:val="18"/>
              </w:rPr>
              <w:t>4</w:t>
            </w:r>
          </w:p>
        </w:tc>
        <w:tc>
          <w:tcPr>
            <w:tcW w:w="5101" w:type="dxa"/>
            <w:tcBorders>
              <w:top w:val="single" w:color="auto" w:sz="4" w:space="0"/>
              <w:left w:val="single" w:color="auto" w:sz="4" w:space="0"/>
              <w:bottom w:val="single" w:color="auto" w:sz="4" w:space="0"/>
              <w:right w:val="single" w:color="auto" w:sz="4" w:space="0"/>
            </w:tcBorders>
            <w:vAlign w:val="center"/>
          </w:tcPr>
          <w:p w14:paraId="3111E218">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关于</w:t>
            </w:r>
            <w:bookmarkStart w:id="61" w:name="_Hlk145190410"/>
            <w:r>
              <w:rPr>
                <w:rFonts w:hint="eastAsia" w:cs="微软雅黑" w:asciiTheme="minorEastAsia" w:hAnsiTheme="minorEastAsia"/>
                <w:sz w:val="18"/>
                <w:szCs w:val="18"/>
              </w:rPr>
              <w:t>2023年宁波高新区创新型中小企业</w:t>
            </w:r>
            <w:bookmarkEnd w:id="61"/>
            <w:r>
              <w:rPr>
                <w:rFonts w:hint="eastAsia" w:cs="微软雅黑" w:asciiTheme="minorEastAsia" w:hAnsiTheme="minorEastAsia"/>
                <w:sz w:val="18"/>
                <w:szCs w:val="18"/>
              </w:rPr>
              <w:t>拟定名单</w:t>
            </w:r>
          </w:p>
        </w:tc>
        <w:tc>
          <w:tcPr>
            <w:tcW w:w="2382" w:type="dxa"/>
            <w:tcBorders>
              <w:top w:val="single" w:color="auto" w:sz="4" w:space="0"/>
              <w:left w:val="single" w:color="auto" w:sz="4" w:space="0"/>
              <w:bottom w:val="single" w:color="auto" w:sz="4" w:space="0"/>
              <w:right w:val="single" w:color="auto" w:sz="4" w:space="0"/>
            </w:tcBorders>
            <w:vAlign w:val="center"/>
          </w:tcPr>
          <w:p w14:paraId="161B793B">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高新区工业和信息化局</w:t>
            </w:r>
          </w:p>
        </w:tc>
        <w:tc>
          <w:tcPr>
            <w:tcW w:w="1209" w:type="dxa"/>
            <w:tcBorders>
              <w:top w:val="single" w:color="auto" w:sz="4" w:space="0"/>
              <w:left w:val="single" w:color="auto" w:sz="4" w:space="0"/>
              <w:bottom w:val="single" w:color="auto" w:sz="4" w:space="0"/>
              <w:right w:val="single" w:color="auto" w:sz="4" w:space="0"/>
            </w:tcBorders>
            <w:vAlign w:val="center"/>
          </w:tcPr>
          <w:p w14:paraId="37067CFD">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2023.4</w:t>
            </w:r>
          </w:p>
        </w:tc>
      </w:tr>
      <w:tr w14:paraId="334690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14:paraId="057ADE15">
            <w:pPr>
              <w:adjustRightInd w:val="0"/>
              <w:snapToGrid w:val="0"/>
              <w:spacing w:line="320" w:lineRule="exact"/>
              <w:jc w:val="center"/>
              <w:rPr>
                <w:rFonts w:ascii="宋体" w:hAnsi="宋体"/>
                <w:sz w:val="18"/>
                <w:szCs w:val="18"/>
              </w:rPr>
            </w:pPr>
            <w:r>
              <w:rPr>
                <w:rFonts w:ascii="宋体" w:hAnsi="宋体"/>
                <w:sz w:val="18"/>
                <w:szCs w:val="18"/>
              </w:rPr>
              <w:t>5</w:t>
            </w:r>
          </w:p>
        </w:tc>
        <w:tc>
          <w:tcPr>
            <w:tcW w:w="5101" w:type="dxa"/>
            <w:tcBorders>
              <w:top w:val="single" w:color="auto" w:sz="4" w:space="0"/>
              <w:left w:val="single" w:color="auto" w:sz="4" w:space="0"/>
              <w:bottom w:val="single" w:color="auto" w:sz="4" w:space="0"/>
              <w:right w:val="single" w:color="auto" w:sz="4" w:space="0"/>
            </w:tcBorders>
            <w:vAlign w:val="center"/>
          </w:tcPr>
          <w:p w14:paraId="55A68B3E">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第11届中国创新创业大赛宁波赛区 优胜奖</w:t>
            </w:r>
          </w:p>
        </w:tc>
        <w:tc>
          <w:tcPr>
            <w:tcW w:w="2382" w:type="dxa"/>
            <w:tcBorders>
              <w:top w:val="single" w:color="auto" w:sz="4" w:space="0"/>
              <w:left w:val="single" w:color="auto" w:sz="4" w:space="0"/>
              <w:bottom w:val="single" w:color="auto" w:sz="4" w:space="0"/>
              <w:right w:val="single" w:color="auto" w:sz="4" w:space="0"/>
            </w:tcBorders>
            <w:vAlign w:val="center"/>
          </w:tcPr>
          <w:p w14:paraId="7138AB87">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宁波市科学技术局</w:t>
            </w:r>
          </w:p>
        </w:tc>
        <w:tc>
          <w:tcPr>
            <w:tcW w:w="1209" w:type="dxa"/>
            <w:tcBorders>
              <w:top w:val="single" w:color="auto" w:sz="4" w:space="0"/>
              <w:left w:val="single" w:color="auto" w:sz="4" w:space="0"/>
              <w:bottom w:val="single" w:color="auto" w:sz="4" w:space="0"/>
              <w:right w:val="single" w:color="auto" w:sz="4" w:space="0"/>
            </w:tcBorders>
            <w:vAlign w:val="center"/>
          </w:tcPr>
          <w:p w14:paraId="26194A5D">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2022.11</w:t>
            </w:r>
          </w:p>
        </w:tc>
      </w:tr>
      <w:tr w14:paraId="6F922A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14:paraId="35111A64">
            <w:pPr>
              <w:adjustRightInd w:val="0"/>
              <w:snapToGrid w:val="0"/>
              <w:spacing w:line="320" w:lineRule="exact"/>
              <w:jc w:val="center"/>
              <w:rPr>
                <w:rFonts w:ascii="宋体" w:hAnsi="宋体"/>
                <w:sz w:val="18"/>
                <w:szCs w:val="18"/>
              </w:rPr>
            </w:pPr>
            <w:r>
              <w:rPr>
                <w:rFonts w:ascii="宋体" w:hAnsi="宋体"/>
                <w:sz w:val="18"/>
                <w:szCs w:val="18"/>
              </w:rPr>
              <w:t>6</w:t>
            </w:r>
          </w:p>
        </w:tc>
        <w:tc>
          <w:tcPr>
            <w:tcW w:w="5101" w:type="dxa"/>
            <w:tcBorders>
              <w:top w:val="single" w:color="auto" w:sz="4" w:space="0"/>
              <w:left w:val="single" w:color="auto" w:sz="4" w:space="0"/>
              <w:bottom w:val="single" w:color="auto" w:sz="4" w:space="0"/>
              <w:right w:val="single" w:color="auto" w:sz="4" w:space="0"/>
            </w:tcBorders>
            <w:vAlign w:val="center"/>
          </w:tcPr>
          <w:p w14:paraId="6C2E35BB">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农行杯第八届创客中国宁波市中小企业创新创业大赛高新区赛区获得优胜奖</w:t>
            </w:r>
          </w:p>
        </w:tc>
        <w:tc>
          <w:tcPr>
            <w:tcW w:w="2382" w:type="dxa"/>
            <w:tcBorders>
              <w:top w:val="single" w:color="auto" w:sz="4" w:space="0"/>
              <w:left w:val="single" w:color="auto" w:sz="4" w:space="0"/>
              <w:bottom w:val="single" w:color="auto" w:sz="4" w:space="0"/>
              <w:right w:val="single" w:color="auto" w:sz="4" w:space="0"/>
            </w:tcBorders>
            <w:vAlign w:val="center"/>
          </w:tcPr>
          <w:p w14:paraId="486BDAFA">
            <w:pPr>
              <w:spacing w:line="240" w:lineRule="exact"/>
              <w:jc w:val="left"/>
              <w:rPr>
                <w:rFonts w:hint="eastAsia" w:eastAsia="宋体" w:cs="微软雅黑" w:asciiTheme="minorEastAsia" w:hAnsiTheme="minorEastAsia"/>
                <w:sz w:val="18"/>
                <w:szCs w:val="18"/>
                <w:lang w:eastAsia="zh-CN"/>
              </w:rPr>
            </w:pPr>
            <w:r>
              <w:rPr>
                <w:rFonts w:hint="eastAsia" w:cs="微软雅黑" w:asciiTheme="minorEastAsia" w:hAnsiTheme="minorEastAsia"/>
                <w:sz w:val="18"/>
                <w:szCs w:val="18"/>
              </w:rPr>
              <w:t>宁波高新区工业和信息化局</w:t>
            </w:r>
          </w:p>
          <w:p w14:paraId="43D04B1B">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宁波高新区财政局</w:t>
            </w:r>
          </w:p>
        </w:tc>
        <w:tc>
          <w:tcPr>
            <w:tcW w:w="1209" w:type="dxa"/>
            <w:tcBorders>
              <w:top w:val="single" w:color="auto" w:sz="4" w:space="0"/>
              <w:left w:val="single" w:color="auto" w:sz="4" w:space="0"/>
              <w:bottom w:val="single" w:color="auto" w:sz="4" w:space="0"/>
              <w:right w:val="single" w:color="auto" w:sz="4" w:space="0"/>
            </w:tcBorders>
            <w:vAlign w:val="center"/>
          </w:tcPr>
          <w:p w14:paraId="28DE3489">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2020.12</w:t>
            </w:r>
          </w:p>
        </w:tc>
      </w:tr>
      <w:tr w14:paraId="6A04ED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exact"/>
          <w:jc w:val="center"/>
        </w:trPr>
        <w:tc>
          <w:tcPr>
            <w:tcW w:w="509" w:type="dxa"/>
            <w:tcBorders>
              <w:top w:val="single" w:color="auto" w:sz="4" w:space="0"/>
              <w:left w:val="single" w:color="auto" w:sz="4" w:space="0"/>
              <w:bottom w:val="single" w:color="auto" w:sz="4" w:space="0"/>
              <w:right w:val="single" w:color="auto" w:sz="4" w:space="0"/>
            </w:tcBorders>
            <w:vAlign w:val="center"/>
          </w:tcPr>
          <w:p w14:paraId="55779208">
            <w:pPr>
              <w:adjustRightInd w:val="0"/>
              <w:snapToGrid w:val="0"/>
              <w:spacing w:line="320" w:lineRule="exact"/>
              <w:jc w:val="center"/>
              <w:rPr>
                <w:rFonts w:ascii="宋体" w:hAnsi="宋体"/>
                <w:sz w:val="18"/>
                <w:szCs w:val="18"/>
              </w:rPr>
            </w:pPr>
            <w:r>
              <w:rPr>
                <w:rFonts w:ascii="宋体" w:hAnsi="宋体"/>
                <w:sz w:val="18"/>
                <w:szCs w:val="18"/>
              </w:rPr>
              <w:t>7</w:t>
            </w:r>
          </w:p>
        </w:tc>
        <w:tc>
          <w:tcPr>
            <w:tcW w:w="5101" w:type="dxa"/>
            <w:tcBorders>
              <w:top w:val="single" w:color="auto" w:sz="4" w:space="0"/>
              <w:left w:val="single" w:color="auto" w:sz="4" w:space="0"/>
              <w:bottom w:val="single" w:color="auto" w:sz="4" w:space="0"/>
              <w:right w:val="single" w:color="auto" w:sz="4" w:space="0"/>
            </w:tcBorders>
            <w:vAlign w:val="center"/>
          </w:tcPr>
          <w:p w14:paraId="672A0DE7">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高新技术企业</w:t>
            </w:r>
          </w:p>
        </w:tc>
        <w:tc>
          <w:tcPr>
            <w:tcW w:w="2382" w:type="dxa"/>
            <w:tcBorders>
              <w:top w:val="single" w:color="auto" w:sz="4" w:space="0"/>
              <w:left w:val="single" w:color="auto" w:sz="4" w:space="0"/>
              <w:bottom w:val="single" w:color="auto" w:sz="4" w:space="0"/>
              <w:right w:val="single" w:color="auto" w:sz="4" w:space="0"/>
            </w:tcBorders>
            <w:vAlign w:val="center"/>
          </w:tcPr>
          <w:p w14:paraId="53643E51">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宁波市科学技术局、宁波市财政局</w:t>
            </w:r>
          </w:p>
        </w:tc>
        <w:tc>
          <w:tcPr>
            <w:tcW w:w="1209" w:type="dxa"/>
            <w:tcBorders>
              <w:top w:val="single" w:color="auto" w:sz="4" w:space="0"/>
              <w:left w:val="single" w:color="auto" w:sz="4" w:space="0"/>
              <w:bottom w:val="single" w:color="auto" w:sz="4" w:space="0"/>
              <w:right w:val="single" w:color="auto" w:sz="4" w:space="0"/>
            </w:tcBorders>
            <w:vAlign w:val="center"/>
          </w:tcPr>
          <w:p w14:paraId="47B79CBE">
            <w:pPr>
              <w:spacing w:line="240" w:lineRule="exact"/>
              <w:jc w:val="left"/>
              <w:rPr>
                <w:rFonts w:cs="微软雅黑" w:asciiTheme="minorEastAsia" w:hAnsiTheme="minorEastAsia"/>
                <w:sz w:val="18"/>
                <w:szCs w:val="18"/>
              </w:rPr>
            </w:pPr>
            <w:r>
              <w:rPr>
                <w:rFonts w:hint="eastAsia" w:cs="微软雅黑" w:asciiTheme="minorEastAsia" w:hAnsiTheme="minorEastAsia"/>
                <w:sz w:val="18"/>
                <w:szCs w:val="18"/>
              </w:rPr>
              <w:t>2020.12</w:t>
            </w:r>
          </w:p>
        </w:tc>
      </w:tr>
    </w:tbl>
    <w:p w14:paraId="208F46D3">
      <w:pPr>
        <w:pStyle w:val="2"/>
        <w:numPr>
          <w:ilvl w:val="0"/>
          <w:numId w:val="1"/>
        </w:numPr>
        <w:tabs>
          <w:tab w:val="left" w:pos="567"/>
        </w:tabs>
        <w:spacing w:before="0" w:after="0" w:line="300" w:lineRule="auto"/>
        <w:ind w:left="0" w:firstLine="0"/>
        <w:jc w:val="left"/>
        <w:rPr>
          <w:rFonts w:ascii="宋体" w:hAnsi="宋体"/>
          <w:sz w:val="32"/>
          <w:szCs w:val="32"/>
        </w:rPr>
      </w:pPr>
      <w:bookmarkStart w:id="62" w:name="_Toc8221288"/>
      <w:bookmarkStart w:id="63" w:name="_Toc47951687"/>
      <w:r>
        <w:rPr>
          <w:rFonts w:hint="eastAsia" w:ascii="宋体" w:hAnsi="宋体"/>
          <w:sz w:val="32"/>
          <w:szCs w:val="32"/>
        </w:rPr>
        <w:t>发展战略  </w:t>
      </w:r>
      <w:bookmarkEnd w:id="62"/>
      <w:bookmarkEnd w:id="63"/>
    </w:p>
    <w:p w14:paraId="339CC73F">
      <w:pPr>
        <w:pStyle w:val="3"/>
        <w:numPr>
          <w:ilvl w:val="1"/>
          <w:numId w:val="29"/>
        </w:numPr>
        <w:spacing w:before="0" w:after="0" w:line="300" w:lineRule="auto"/>
        <w:ind w:left="0" w:firstLine="0"/>
        <w:rPr>
          <w:sz w:val="28"/>
          <w:szCs w:val="28"/>
        </w:rPr>
      </w:pPr>
      <w:bookmarkStart w:id="64" w:name="_Toc47951688"/>
      <w:r>
        <w:rPr>
          <w:rFonts w:hint="eastAsia"/>
          <w:sz w:val="28"/>
          <w:szCs w:val="28"/>
        </w:rPr>
        <w:t>战略定位及发展方向</w:t>
      </w:r>
      <w:bookmarkEnd w:id="64"/>
    </w:p>
    <w:p w14:paraId="20949760">
      <w:pPr>
        <w:spacing w:line="300" w:lineRule="auto"/>
        <w:ind w:firstLine="480" w:firstLineChars="200"/>
        <w:rPr>
          <w:rFonts w:ascii="宋体" w:hAnsi="宋体" w:cs="微软雅黑"/>
          <w:sz w:val="24"/>
          <w:highlight w:val="green"/>
        </w:rPr>
      </w:pPr>
      <w:r>
        <w:rPr>
          <w:rFonts w:hint="eastAsia" w:ascii="宋体" w:hAnsi="宋体" w:cs="微软雅黑"/>
          <w:sz w:val="24"/>
        </w:rPr>
        <w:t>三思永恒科技（浙江）有限公司的总发展战略：有计划、有重点、分阶段地深化公司体制改革、全面提高企业的综合实力和市场竞争力，使公司真正转变为一个从事高端制造和现代科技服务型制造的知名企业。</w:t>
      </w:r>
    </w:p>
    <w:p w14:paraId="7F800F65">
      <w:pPr>
        <w:widowControl/>
        <w:spacing w:line="360" w:lineRule="exact"/>
        <w:ind w:firstLine="480" w:firstLineChars="200"/>
        <w:rPr>
          <w:rFonts w:ascii="宋体" w:hAnsi="宋体"/>
          <w:sz w:val="24"/>
          <w:szCs w:val="24"/>
        </w:rPr>
      </w:pPr>
      <w:r>
        <w:rPr>
          <w:rFonts w:hint="eastAsia" w:ascii="宋体" w:hAnsi="宋体"/>
          <w:sz w:val="24"/>
          <w:szCs w:val="24"/>
        </w:rPr>
        <w:t>公司持续提高产品开发能力，积极开拓国内外市场，在中高端市场上积极打造品牌，做好市场布局，拓宽销售渠道，扩大国内品牌影响力以及市场占有率。持续引进或改造现有生产设备以提高生产效率，增加企业竞争力。不断完善企业管理体系，引进先进管理模式，推进精益生产。打造企业内部系统化、高度网络化的信息管理系统。持续扩大研发队伍，保持产品创新，实现转型升级，在国际、国内市场上争创领先地位，成为受社会尊敬、可持续发展的企业。</w:t>
      </w:r>
    </w:p>
    <w:p w14:paraId="6EDB8781">
      <w:pPr>
        <w:pStyle w:val="3"/>
        <w:numPr>
          <w:ilvl w:val="1"/>
          <w:numId w:val="29"/>
        </w:numPr>
        <w:spacing w:before="0" w:after="0" w:line="300" w:lineRule="auto"/>
        <w:ind w:left="0" w:firstLine="0"/>
        <w:rPr>
          <w:sz w:val="28"/>
          <w:szCs w:val="28"/>
        </w:rPr>
      </w:pPr>
      <w:bookmarkStart w:id="65" w:name="_Toc47951689"/>
      <w:r>
        <w:rPr>
          <w:rFonts w:hint="eastAsia"/>
          <w:sz w:val="28"/>
          <w:szCs w:val="28"/>
        </w:rPr>
        <w:t>展望未来</w:t>
      </w:r>
      <w:bookmarkEnd w:id="65"/>
    </w:p>
    <w:p w14:paraId="76EA5CC4">
      <w:pPr>
        <w:widowControl/>
        <w:spacing w:line="360" w:lineRule="exact"/>
        <w:ind w:firstLine="480" w:firstLineChars="200"/>
      </w:pPr>
      <w:r>
        <w:rPr>
          <w:rFonts w:hint="eastAsia" w:ascii="宋体" w:hAnsi="宋体"/>
          <w:sz w:val="24"/>
          <w:szCs w:val="24"/>
        </w:rPr>
        <w:t>未来充满机遇和挑战，公司有信心、有能力，将继续以创新驱动战略为牵引，继续坚持产品、技术、管理创新，落实公司社会责任中长期发展规划，强化社会责任感，与各利益相关方共同推进人类社会的发展与进步，打造具有全球竞争力的试验机制造专业企业，打造成为"中国的MTS"，为弘扬浙江制造和中国制造品牌继续奋斗。</w:t>
      </w:r>
    </w:p>
    <w:sectPr>
      <w:headerReference r:id="rId3" w:type="default"/>
      <w:footerReference r:id="rId4" w:type="default"/>
      <w:footerReference r:id="rId5" w:type="even"/>
      <w:pgSz w:w="11906" w:h="16838"/>
      <w:pgMar w:top="1440" w:right="1418" w:bottom="1440"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monospace">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11A1">
    <w:pPr>
      <w:pStyle w:val="11"/>
      <w:pBdr>
        <w:top w:val="thinThickSmallGap" w:color="823B0B" w:themeColor="accent2" w:themeShade="7F" w:sz="24" w:space="1"/>
      </w:pBdr>
      <w:rPr>
        <w:rFonts w:asciiTheme="majorHAnsi" w:hAnsiTheme="majorHAnsi" w:eastAsiaTheme="majorEastAsia" w:cstheme="majorBidi"/>
      </w:rPr>
    </w:pPr>
    <w:r>
      <w:rPr>
        <w:rFonts w:hint="eastAsia" w:asciiTheme="majorHAnsi" w:hAnsiTheme="majorHAnsi" w:eastAsiaTheme="majorEastAsia" w:cstheme="majorBidi"/>
        <w:b/>
      </w:rPr>
      <w:t>三思永恒科技（浙江）有限公司</w:t>
    </w:r>
    <w:r>
      <w:rPr>
        <w:rFonts w:asciiTheme="majorHAnsi" w:hAnsiTheme="majorHAnsi" w:eastAsiaTheme="majorEastAsia" w:cstheme="majorBidi"/>
      </w:rPr>
      <w:ptab w:relativeTo="margin" w:alignment="right" w:leader="none"/>
    </w:r>
    <w:r>
      <w:rPr>
        <w:rFonts w:asciiTheme="majorHAnsi" w:hAnsiTheme="majorHAnsi" w:eastAsiaTheme="majorEastAsia" w:cstheme="majorBidi"/>
        <w:lang w:val="zh-CN"/>
      </w:rPr>
      <w:t xml:space="preserve"> </w:t>
    </w:r>
    <w:r>
      <w:rPr>
        <w:rFonts w:asciiTheme="minorHAnsi" w:hAnsiTheme="minorHAnsi" w:eastAsiaTheme="minorEastAsia" w:cstheme="minorBidi"/>
      </w:rPr>
      <w:fldChar w:fldCharType="begin"/>
    </w:r>
    <w:r>
      <w:instrText xml:space="preserve">PAGE   \* MERGEFORMAT</w:instrText>
    </w:r>
    <w:r>
      <w:rPr>
        <w:rFonts w:asciiTheme="minorHAnsi" w:hAnsiTheme="minorHAnsi" w:eastAsiaTheme="minorEastAsia" w:cstheme="minorBidi"/>
      </w:rPr>
      <w:fldChar w:fldCharType="separate"/>
    </w:r>
    <w:r>
      <w:rPr>
        <w:rFonts w:asciiTheme="majorHAnsi" w:hAnsiTheme="majorHAnsi" w:eastAsiaTheme="majorEastAsia" w:cstheme="majorBidi"/>
        <w:lang w:val="zh-CN"/>
      </w:rPr>
      <w:t>14</w:t>
    </w:r>
    <w:r>
      <w:rPr>
        <w:rFonts w:asciiTheme="majorHAnsi" w:hAnsiTheme="majorHAnsi" w:eastAsiaTheme="majorEastAsia" w:cstheme="majorBid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0E2B7">
    <w:pPr>
      <w:pStyle w:val="11"/>
      <w:framePr w:wrap="around" w:vAnchor="text" w:hAnchor="margin" w:xAlign="right" w:y="1"/>
      <w:rPr>
        <w:rStyle w:val="21"/>
      </w:rPr>
    </w:pPr>
    <w:r>
      <w:fldChar w:fldCharType="begin"/>
    </w:r>
    <w:r>
      <w:rPr>
        <w:rStyle w:val="21"/>
      </w:rPr>
      <w:instrText xml:space="preserve">PAGE  </w:instrText>
    </w:r>
    <w:r>
      <w:fldChar w:fldCharType="separate"/>
    </w:r>
    <w:r>
      <w:rPr>
        <w:rStyle w:val="21"/>
      </w:rPr>
      <w:t>2</w:t>
    </w:r>
    <w:r>
      <w:fldChar w:fldCharType="end"/>
    </w:r>
  </w:p>
  <w:p w14:paraId="49468901">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7AFF">
    <w:pPr>
      <w:pStyle w:val="12"/>
    </w:pPr>
    <w:r>
      <w:rPr>
        <w:rFonts w:hint="eastAsia"/>
        <w:b/>
      </w:rPr>
      <w:t>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A3C65"/>
    <w:multiLevelType w:val="multilevel"/>
    <w:tmpl w:val="026A3C65"/>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45E451A"/>
    <w:multiLevelType w:val="multilevel"/>
    <w:tmpl w:val="045E45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6034ABD"/>
    <w:multiLevelType w:val="multilevel"/>
    <w:tmpl w:val="06034A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CF677A9"/>
    <w:multiLevelType w:val="multilevel"/>
    <w:tmpl w:val="0CF677A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36B357F"/>
    <w:multiLevelType w:val="multilevel"/>
    <w:tmpl w:val="136B357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8970941"/>
    <w:multiLevelType w:val="multilevel"/>
    <w:tmpl w:val="1897094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99D483A"/>
    <w:multiLevelType w:val="multilevel"/>
    <w:tmpl w:val="199D483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2A96EED"/>
    <w:multiLevelType w:val="multilevel"/>
    <w:tmpl w:val="22A96E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78F58AC"/>
    <w:multiLevelType w:val="multilevel"/>
    <w:tmpl w:val="278F58A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8020D29"/>
    <w:multiLevelType w:val="multilevel"/>
    <w:tmpl w:val="28020D2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839104E"/>
    <w:multiLevelType w:val="multilevel"/>
    <w:tmpl w:val="3839104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ADB2122"/>
    <w:multiLevelType w:val="multilevel"/>
    <w:tmpl w:val="3ADB212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BD05D22"/>
    <w:multiLevelType w:val="multilevel"/>
    <w:tmpl w:val="3BD05D2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09B380F"/>
    <w:multiLevelType w:val="multilevel"/>
    <w:tmpl w:val="409B380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0FB1551"/>
    <w:multiLevelType w:val="multilevel"/>
    <w:tmpl w:val="40FB155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3985110"/>
    <w:multiLevelType w:val="multilevel"/>
    <w:tmpl w:val="439851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4B05D5E"/>
    <w:multiLevelType w:val="multilevel"/>
    <w:tmpl w:val="44B05D5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39D6E94"/>
    <w:multiLevelType w:val="multilevel"/>
    <w:tmpl w:val="539D6E9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A497CEE"/>
    <w:multiLevelType w:val="multilevel"/>
    <w:tmpl w:val="5A497CE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C056E8B"/>
    <w:multiLevelType w:val="multilevel"/>
    <w:tmpl w:val="5C056E8B"/>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1F24EB6"/>
    <w:multiLevelType w:val="multilevel"/>
    <w:tmpl w:val="61F24EB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2942636"/>
    <w:multiLevelType w:val="multilevel"/>
    <w:tmpl w:val="6294263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7E74BE6"/>
    <w:multiLevelType w:val="multilevel"/>
    <w:tmpl w:val="67E74BE6"/>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8BB14DD"/>
    <w:multiLevelType w:val="multilevel"/>
    <w:tmpl w:val="68BB14D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98A2DE0"/>
    <w:multiLevelType w:val="multilevel"/>
    <w:tmpl w:val="698A2DE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6CE848A9"/>
    <w:multiLevelType w:val="multilevel"/>
    <w:tmpl w:val="6CE848A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D245DFD"/>
    <w:multiLevelType w:val="multilevel"/>
    <w:tmpl w:val="6D245DFD"/>
    <w:lvl w:ilvl="0" w:tentative="0">
      <w:start w:val="3"/>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7">
    <w:nsid w:val="738E5196"/>
    <w:multiLevelType w:val="multilevel"/>
    <w:tmpl w:val="738E519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79CE2F4F"/>
    <w:multiLevelType w:val="multilevel"/>
    <w:tmpl w:val="79CE2F4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9"/>
  </w:num>
  <w:num w:numId="2">
    <w:abstractNumId w:val="24"/>
  </w:num>
  <w:num w:numId="3">
    <w:abstractNumId w:val="7"/>
  </w:num>
  <w:num w:numId="4">
    <w:abstractNumId w:val="9"/>
  </w:num>
  <w:num w:numId="5">
    <w:abstractNumId w:val="15"/>
  </w:num>
  <w:num w:numId="6">
    <w:abstractNumId w:val="13"/>
  </w:num>
  <w:num w:numId="7">
    <w:abstractNumId w:val="2"/>
  </w:num>
  <w:num w:numId="8">
    <w:abstractNumId w:val="8"/>
  </w:num>
  <w:num w:numId="9">
    <w:abstractNumId w:val="16"/>
  </w:num>
  <w:num w:numId="10">
    <w:abstractNumId w:val="18"/>
  </w:num>
  <w:num w:numId="11">
    <w:abstractNumId w:val="28"/>
  </w:num>
  <w:num w:numId="12">
    <w:abstractNumId w:val="14"/>
  </w:num>
  <w:num w:numId="13">
    <w:abstractNumId w:val="23"/>
  </w:num>
  <w:num w:numId="14">
    <w:abstractNumId w:val="25"/>
  </w:num>
  <w:num w:numId="15">
    <w:abstractNumId w:val="3"/>
  </w:num>
  <w:num w:numId="16">
    <w:abstractNumId w:val="1"/>
  </w:num>
  <w:num w:numId="17">
    <w:abstractNumId w:val="6"/>
  </w:num>
  <w:num w:numId="18">
    <w:abstractNumId w:val="5"/>
  </w:num>
  <w:num w:numId="19">
    <w:abstractNumId w:val="10"/>
  </w:num>
  <w:num w:numId="20">
    <w:abstractNumId w:val="27"/>
  </w:num>
  <w:num w:numId="21">
    <w:abstractNumId w:val="21"/>
  </w:num>
  <w:num w:numId="22">
    <w:abstractNumId w:val="12"/>
  </w:num>
  <w:num w:numId="23">
    <w:abstractNumId w:val="17"/>
  </w:num>
  <w:num w:numId="24">
    <w:abstractNumId w:val="4"/>
  </w:num>
  <w:num w:numId="25">
    <w:abstractNumId w:val="0"/>
  </w:num>
  <w:num w:numId="26">
    <w:abstractNumId w:val="11"/>
  </w:num>
  <w:num w:numId="27">
    <w:abstractNumId w:val="20"/>
  </w:num>
  <w:num w:numId="28">
    <w:abstractNumId w:val="2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MmU5MTg5YTFiY2RiZWM0M2EwNGMwMzI2ZDk1ZTEifQ=="/>
  </w:docVars>
  <w:rsids>
    <w:rsidRoot w:val="00A3213D"/>
    <w:rsid w:val="000408D8"/>
    <w:rsid w:val="000530B1"/>
    <w:rsid w:val="00065EB5"/>
    <w:rsid w:val="00066398"/>
    <w:rsid w:val="00067C63"/>
    <w:rsid w:val="000700A8"/>
    <w:rsid w:val="00071DB4"/>
    <w:rsid w:val="000F01D6"/>
    <w:rsid w:val="00100F0D"/>
    <w:rsid w:val="00114BE5"/>
    <w:rsid w:val="00116AA5"/>
    <w:rsid w:val="00127AF2"/>
    <w:rsid w:val="00145972"/>
    <w:rsid w:val="0015184A"/>
    <w:rsid w:val="0016283A"/>
    <w:rsid w:val="00163EB1"/>
    <w:rsid w:val="00167BA5"/>
    <w:rsid w:val="001715FC"/>
    <w:rsid w:val="00180D5F"/>
    <w:rsid w:val="0019357D"/>
    <w:rsid w:val="001C4AEF"/>
    <w:rsid w:val="0023753A"/>
    <w:rsid w:val="00265529"/>
    <w:rsid w:val="00284902"/>
    <w:rsid w:val="002A189A"/>
    <w:rsid w:val="002A6680"/>
    <w:rsid w:val="002B65A0"/>
    <w:rsid w:val="002E0388"/>
    <w:rsid w:val="002F3D56"/>
    <w:rsid w:val="00301D0F"/>
    <w:rsid w:val="00320032"/>
    <w:rsid w:val="00326ADF"/>
    <w:rsid w:val="0039154E"/>
    <w:rsid w:val="00394C3C"/>
    <w:rsid w:val="003B52EA"/>
    <w:rsid w:val="003C1A10"/>
    <w:rsid w:val="003D259F"/>
    <w:rsid w:val="00414B18"/>
    <w:rsid w:val="0041549C"/>
    <w:rsid w:val="00416177"/>
    <w:rsid w:val="00423F8C"/>
    <w:rsid w:val="00435250"/>
    <w:rsid w:val="00440E3B"/>
    <w:rsid w:val="00443DDA"/>
    <w:rsid w:val="00453028"/>
    <w:rsid w:val="00455D5F"/>
    <w:rsid w:val="00481CF2"/>
    <w:rsid w:val="004A0162"/>
    <w:rsid w:val="004C6ECE"/>
    <w:rsid w:val="004F6D22"/>
    <w:rsid w:val="00505807"/>
    <w:rsid w:val="00506C42"/>
    <w:rsid w:val="00514751"/>
    <w:rsid w:val="00515DDF"/>
    <w:rsid w:val="00516D97"/>
    <w:rsid w:val="00517424"/>
    <w:rsid w:val="00564F7C"/>
    <w:rsid w:val="0057777E"/>
    <w:rsid w:val="005852AD"/>
    <w:rsid w:val="00596F02"/>
    <w:rsid w:val="005A1034"/>
    <w:rsid w:val="005A199A"/>
    <w:rsid w:val="005B6B36"/>
    <w:rsid w:val="005D7D9D"/>
    <w:rsid w:val="005F2001"/>
    <w:rsid w:val="00604390"/>
    <w:rsid w:val="0063611A"/>
    <w:rsid w:val="006373AA"/>
    <w:rsid w:val="00640421"/>
    <w:rsid w:val="00643FD5"/>
    <w:rsid w:val="00654356"/>
    <w:rsid w:val="0067619C"/>
    <w:rsid w:val="00694D21"/>
    <w:rsid w:val="006C4C81"/>
    <w:rsid w:val="006D42A4"/>
    <w:rsid w:val="006D5975"/>
    <w:rsid w:val="006F293D"/>
    <w:rsid w:val="006F4BA3"/>
    <w:rsid w:val="007401EB"/>
    <w:rsid w:val="00770F6E"/>
    <w:rsid w:val="007A0E03"/>
    <w:rsid w:val="007A6316"/>
    <w:rsid w:val="007B11B2"/>
    <w:rsid w:val="007C3FF2"/>
    <w:rsid w:val="007F72CA"/>
    <w:rsid w:val="007F753A"/>
    <w:rsid w:val="00802B68"/>
    <w:rsid w:val="00812BDC"/>
    <w:rsid w:val="00812E0F"/>
    <w:rsid w:val="00814BA5"/>
    <w:rsid w:val="00826FE6"/>
    <w:rsid w:val="00833E82"/>
    <w:rsid w:val="00837897"/>
    <w:rsid w:val="00850A31"/>
    <w:rsid w:val="0085230C"/>
    <w:rsid w:val="008778BF"/>
    <w:rsid w:val="00895796"/>
    <w:rsid w:val="008B7E9B"/>
    <w:rsid w:val="008C200F"/>
    <w:rsid w:val="008C6317"/>
    <w:rsid w:val="008D72CD"/>
    <w:rsid w:val="008E76B7"/>
    <w:rsid w:val="008E78AD"/>
    <w:rsid w:val="008F4E70"/>
    <w:rsid w:val="00902839"/>
    <w:rsid w:val="009136DC"/>
    <w:rsid w:val="00914B0E"/>
    <w:rsid w:val="009275C7"/>
    <w:rsid w:val="00932AB1"/>
    <w:rsid w:val="0095168E"/>
    <w:rsid w:val="0096789A"/>
    <w:rsid w:val="00973B3E"/>
    <w:rsid w:val="00984151"/>
    <w:rsid w:val="009B392F"/>
    <w:rsid w:val="009B5A5C"/>
    <w:rsid w:val="009B6D33"/>
    <w:rsid w:val="009C7875"/>
    <w:rsid w:val="00A01855"/>
    <w:rsid w:val="00A3213D"/>
    <w:rsid w:val="00A32C25"/>
    <w:rsid w:val="00A60386"/>
    <w:rsid w:val="00A6445C"/>
    <w:rsid w:val="00A8476B"/>
    <w:rsid w:val="00A84E8B"/>
    <w:rsid w:val="00A93E0E"/>
    <w:rsid w:val="00AB6AC0"/>
    <w:rsid w:val="00AC060A"/>
    <w:rsid w:val="00AC107D"/>
    <w:rsid w:val="00AC1432"/>
    <w:rsid w:val="00AE41A6"/>
    <w:rsid w:val="00B02554"/>
    <w:rsid w:val="00B31C87"/>
    <w:rsid w:val="00B33E4C"/>
    <w:rsid w:val="00B76436"/>
    <w:rsid w:val="00B83DEC"/>
    <w:rsid w:val="00B86B2F"/>
    <w:rsid w:val="00B92B70"/>
    <w:rsid w:val="00BC19CC"/>
    <w:rsid w:val="00BD5431"/>
    <w:rsid w:val="00BE6F6A"/>
    <w:rsid w:val="00BF2CF7"/>
    <w:rsid w:val="00C10174"/>
    <w:rsid w:val="00C36A4C"/>
    <w:rsid w:val="00C36D69"/>
    <w:rsid w:val="00C80844"/>
    <w:rsid w:val="00CF01A1"/>
    <w:rsid w:val="00D07BE9"/>
    <w:rsid w:val="00D165EB"/>
    <w:rsid w:val="00D16A97"/>
    <w:rsid w:val="00D27FFE"/>
    <w:rsid w:val="00D302BB"/>
    <w:rsid w:val="00D32F60"/>
    <w:rsid w:val="00D34454"/>
    <w:rsid w:val="00D45DBB"/>
    <w:rsid w:val="00D704B1"/>
    <w:rsid w:val="00D94B7D"/>
    <w:rsid w:val="00D97B83"/>
    <w:rsid w:val="00DE28FD"/>
    <w:rsid w:val="00DE7281"/>
    <w:rsid w:val="00DF1E23"/>
    <w:rsid w:val="00E323BF"/>
    <w:rsid w:val="00E33322"/>
    <w:rsid w:val="00E45F02"/>
    <w:rsid w:val="00E5099D"/>
    <w:rsid w:val="00E5255D"/>
    <w:rsid w:val="00E52600"/>
    <w:rsid w:val="00E72700"/>
    <w:rsid w:val="00E74EE5"/>
    <w:rsid w:val="00E8010D"/>
    <w:rsid w:val="00EB73B8"/>
    <w:rsid w:val="00EE7428"/>
    <w:rsid w:val="00F1040B"/>
    <w:rsid w:val="00F1714D"/>
    <w:rsid w:val="00F667AA"/>
    <w:rsid w:val="00F80658"/>
    <w:rsid w:val="00FA34FB"/>
    <w:rsid w:val="00FC5592"/>
    <w:rsid w:val="00FC74B0"/>
    <w:rsid w:val="00FE6B61"/>
    <w:rsid w:val="00FF2EA9"/>
    <w:rsid w:val="00FF4151"/>
    <w:rsid w:val="00FF72C1"/>
    <w:rsid w:val="013463D7"/>
    <w:rsid w:val="01FC22A6"/>
    <w:rsid w:val="023E0E96"/>
    <w:rsid w:val="028B4B6F"/>
    <w:rsid w:val="028F6EEE"/>
    <w:rsid w:val="02D25176"/>
    <w:rsid w:val="0347681A"/>
    <w:rsid w:val="03FE2B78"/>
    <w:rsid w:val="041E7EF5"/>
    <w:rsid w:val="04363D3E"/>
    <w:rsid w:val="044A5F55"/>
    <w:rsid w:val="05973915"/>
    <w:rsid w:val="05E13C5A"/>
    <w:rsid w:val="06CD1AED"/>
    <w:rsid w:val="070169E9"/>
    <w:rsid w:val="07485790"/>
    <w:rsid w:val="074F312F"/>
    <w:rsid w:val="07AE1747"/>
    <w:rsid w:val="08BE0D12"/>
    <w:rsid w:val="090066D2"/>
    <w:rsid w:val="09566058"/>
    <w:rsid w:val="0A526289"/>
    <w:rsid w:val="0A7C1775"/>
    <w:rsid w:val="0AEE72E4"/>
    <w:rsid w:val="0B593B56"/>
    <w:rsid w:val="0B87532D"/>
    <w:rsid w:val="0BC83E9B"/>
    <w:rsid w:val="0D292AB1"/>
    <w:rsid w:val="0D391381"/>
    <w:rsid w:val="0E027946"/>
    <w:rsid w:val="0EEA1C05"/>
    <w:rsid w:val="0EFD5BBA"/>
    <w:rsid w:val="0F12525E"/>
    <w:rsid w:val="0F30513C"/>
    <w:rsid w:val="0F7222A5"/>
    <w:rsid w:val="0FAA3ABE"/>
    <w:rsid w:val="0FBE503C"/>
    <w:rsid w:val="11026336"/>
    <w:rsid w:val="119D0FC0"/>
    <w:rsid w:val="128C2EA5"/>
    <w:rsid w:val="129E2457"/>
    <w:rsid w:val="12CE393D"/>
    <w:rsid w:val="13581FA3"/>
    <w:rsid w:val="140C75C6"/>
    <w:rsid w:val="141A2EEF"/>
    <w:rsid w:val="146218C0"/>
    <w:rsid w:val="147E7D05"/>
    <w:rsid w:val="14940D99"/>
    <w:rsid w:val="15E573CF"/>
    <w:rsid w:val="16361B7B"/>
    <w:rsid w:val="17035AAC"/>
    <w:rsid w:val="17587540"/>
    <w:rsid w:val="1776079E"/>
    <w:rsid w:val="18933B6D"/>
    <w:rsid w:val="18B31150"/>
    <w:rsid w:val="19374E7A"/>
    <w:rsid w:val="19520625"/>
    <w:rsid w:val="19B2020C"/>
    <w:rsid w:val="1A075F4E"/>
    <w:rsid w:val="1A18751B"/>
    <w:rsid w:val="1A2951AB"/>
    <w:rsid w:val="1A58644A"/>
    <w:rsid w:val="1A6172DC"/>
    <w:rsid w:val="1B694C21"/>
    <w:rsid w:val="1B87370A"/>
    <w:rsid w:val="1C3976B6"/>
    <w:rsid w:val="1CAE00FE"/>
    <w:rsid w:val="1CDA78DB"/>
    <w:rsid w:val="1D991D07"/>
    <w:rsid w:val="1D9C00C0"/>
    <w:rsid w:val="1DEC2412"/>
    <w:rsid w:val="1E5E3234"/>
    <w:rsid w:val="1E8073FA"/>
    <w:rsid w:val="1F1F7163"/>
    <w:rsid w:val="1F7402E4"/>
    <w:rsid w:val="1FDD5CFC"/>
    <w:rsid w:val="20443C04"/>
    <w:rsid w:val="209F6BBC"/>
    <w:rsid w:val="20CB6970"/>
    <w:rsid w:val="20D101B4"/>
    <w:rsid w:val="20F126F3"/>
    <w:rsid w:val="218A59AE"/>
    <w:rsid w:val="224D64DE"/>
    <w:rsid w:val="228E1036"/>
    <w:rsid w:val="22903957"/>
    <w:rsid w:val="232D551C"/>
    <w:rsid w:val="23CB6DC2"/>
    <w:rsid w:val="240C2A0C"/>
    <w:rsid w:val="24D2433F"/>
    <w:rsid w:val="24D54E69"/>
    <w:rsid w:val="25236CA3"/>
    <w:rsid w:val="255A2318"/>
    <w:rsid w:val="25935799"/>
    <w:rsid w:val="26044AF1"/>
    <w:rsid w:val="2668631F"/>
    <w:rsid w:val="26E348E5"/>
    <w:rsid w:val="27337B8A"/>
    <w:rsid w:val="27365A22"/>
    <w:rsid w:val="27445B59"/>
    <w:rsid w:val="27495E5C"/>
    <w:rsid w:val="274D144D"/>
    <w:rsid w:val="27A11A00"/>
    <w:rsid w:val="27B83C24"/>
    <w:rsid w:val="27FF2AD2"/>
    <w:rsid w:val="28DF17A9"/>
    <w:rsid w:val="29D0585E"/>
    <w:rsid w:val="29DE4A9A"/>
    <w:rsid w:val="2A2F2BCD"/>
    <w:rsid w:val="2A3440AE"/>
    <w:rsid w:val="2A703CF3"/>
    <w:rsid w:val="2A882549"/>
    <w:rsid w:val="2A9071FF"/>
    <w:rsid w:val="2AAF2373"/>
    <w:rsid w:val="2ACC6673"/>
    <w:rsid w:val="2AD60AE5"/>
    <w:rsid w:val="2B355FB3"/>
    <w:rsid w:val="2B9B5040"/>
    <w:rsid w:val="2B9F0D1B"/>
    <w:rsid w:val="2BBA0E1B"/>
    <w:rsid w:val="2C060F30"/>
    <w:rsid w:val="2C4B7739"/>
    <w:rsid w:val="2DD72994"/>
    <w:rsid w:val="2E2D569C"/>
    <w:rsid w:val="2E4D3D2C"/>
    <w:rsid w:val="2EB612E7"/>
    <w:rsid w:val="2F7033CB"/>
    <w:rsid w:val="2FA75895"/>
    <w:rsid w:val="2FD511A7"/>
    <w:rsid w:val="2FFE5057"/>
    <w:rsid w:val="303B703B"/>
    <w:rsid w:val="3138507E"/>
    <w:rsid w:val="318F156E"/>
    <w:rsid w:val="3501041B"/>
    <w:rsid w:val="356B064C"/>
    <w:rsid w:val="358D7B71"/>
    <w:rsid w:val="35C37A14"/>
    <w:rsid w:val="35DD7FDD"/>
    <w:rsid w:val="3643758F"/>
    <w:rsid w:val="37297698"/>
    <w:rsid w:val="37CE6B23"/>
    <w:rsid w:val="38055E6F"/>
    <w:rsid w:val="388253D7"/>
    <w:rsid w:val="38A035B2"/>
    <w:rsid w:val="38A7101F"/>
    <w:rsid w:val="39561AF1"/>
    <w:rsid w:val="3A2139D0"/>
    <w:rsid w:val="3A783E7A"/>
    <w:rsid w:val="3ACD6345"/>
    <w:rsid w:val="3AF4351D"/>
    <w:rsid w:val="3B4F0A10"/>
    <w:rsid w:val="3C5D1AC5"/>
    <w:rsid w:val="3D5A15DA"/>
    <w:rsid w:val="3DB811A3"/>
    <w:rsid w:val="3E48007F"/>
    <w:rsid w:val="3ED05D92"/>
    <w:rsid w:val="3F2E5E76"/>
    <w:rsid w:val="3F501B5D"/>
    <w:rsid w:val="4028272F"/>
    <w:rsid w:val="40432FCC"/>
    <w:rsid w:val="40A806D5"/>
    <w:rsid w:val="41745D2D"/>
    <w:rsid w:val="42672AA4"/>
    <w:rsid w:val="434C671B"/>
    <w:rsid w:val="43583684"/>
    <w:rsid w:val="43D279B3"/>
    <w:rsid w:val="441045EA"/>
    <w:rsid w:val="442278E7"/>
    <w:rsid w:val="44A13D7A"/>
    <w:rsid w:val="459F31A8"/>
    <w:rsid w:val="4621272E"/>
    <w:rsid w:val="4626077F"/>
    <w:rsid w:val="463462B9"/>
    <w:rsid w:val="464222A3"/>
    <w:rsid w:val="46B3073E"/>
    <w:rsid w:val="46F01596"/>
    <w:rsid w:val="478D332C"/>
    <w:rsid w:val="47A37A0D"/>
    <w:rsid w:val="47C21F11"/>
    <w:rsid w:val="48A44AC5"/>
    <w:rsid w:val="497C3BBC"/>
    <w:rsid w:val="49A33663"/>
    <w:rsid w:val="4A3E28C3"/>
    <w:rsid w:val="4AA515B9"/>
    <w:rsid w:val="4B2F2B14"/>
    <w:rsid w:val="4B7C6109"/>
    <w:rsid w:val="4BC8205A"/>
    <w:rsid w:val="4C3E12BF"/>
    <w:rsid w:val="4C9A690A"/>
    <w:rsid w:val="51643A8A"/>
    <w:rsid w:val="51792409"/>
    <w:rsid w:val="5203754E"/>
    <w:rsid w:val="520F589E"/>
    <w:rsid w:val="52250BF8"/>
    <w:rsid w:val="52AC6595"/>
    <w:rsid w:val="52F1014B"/>
    <w:rsid w:val="52F46A9C"/>
    <w:rsid w:val="53C569CC"/>
    <w:rsid w:val="53D609A4"/>
    <w:rsid w:val="54B31393"/>
    <w:rsid w:val="54F4724D"/>
    <w:rsid w:val="55F247D8"/>
    <w:rsid w:val="56362910"/>
    <w:rsid w:val="56816CBC"/>
    <w:rsid w:val="568A79F0"/>
    <w:rsid w:val="56A858FF"/>
    <w:rsid w:val="570E5818"/>
    <w:rsid w:val="57122BDA"/>
    <w:rsid w:val="573D2B8F"/>
    <w:rsid w:val="574F6192"/>
    <w:rsid w:val="58170FE4"/>
    <w:rsid w:val="58295E2C"/>
    <w:rsid w:val="585D5ABA"/>
    <w:rsid w:val="58DD4478"/>
    <w:rsid w:val="59994CB0"/>
    <w:rsid w:val="5A0200A3"/>
    <w:rsid w:val="5A8505C4"/>
    <w:rsid w:val="5AF1075C"/>
    <w:rsid w:val="5B154D68"/>
    <w:rsid w:val="5B2738D0"/>
    <w:rsid w:val="5B9A4F38"/>
    <w:rsid w:val="5D15229D"/>
    <w:rsid w:val="5E677438"/>
    <w:rsid w:val="5E753831"/>
    <w:rsid w:val="5EF17482"/>
    <w:rsid w:val="5F210ACB"/>
    <w:rsid w:val="5FA251BE"/>
    <w:rsid w:val="60883222"/>
    <w:rsid w:val="61611BB7"/>
    <w:rsid w:val="61C26C03"/>
    <w:rsid w:val="61FB3592"/>
    <w:rsid w:val="621A6D36"/>
    <w:rsid w:val="64671D6D"/>
    <w:rsid w:val="658F15BA"/>
    <w:rsid w:val="66561173"/>
    <w:rsid w:val="666A5E28"/>
    <w:rsid w:val="66771379"/>
    <w:rsid w:val="67512CB0"/>
    <w:rsid w:val="68884AFB"/>
    <w:rsid w:val="6894168D"/>
    <w:rsid w:val="689D02F3"/>
    <w:rsid w:val="689D746F"/>
    <w:rsid w:val="68BD5E0D"/>
    <w:rsid w:val="68E11FFE"/>
    <w:rsid w:val="68FC3AD3"/>
    <w:rsid w:val="69503B97"/>
    <w:rsid w:val="69A43B52"/>
    <w:rsid w:val="69C97F14"/>
    <w:rsid w:val="69F26E61"/>
    <w:rsid w:val="6A87266B"/>
    <w:rsid w:val="6AE7522E"/>
    <w:rsid w:val="6B1C20F6"/>
    <w:rsid w:val="6B3623CF"/>
    <w:rsid w:val="6D3B72C5"/>
    <w:rsid w:val="6E626ABD"/>
    <w:rsid w:val="6EBC1F8A"/>
    <w:rsid w:val="6EDC7C4D"/>
    <w:rsid w:val="6F3803E9"/>
    <w:rsid w:val="6F3C0894"/>
    <w:rsid w:val="6FD56345"/>
    <w:rsid w:val="71323F0F"/>
    <w:rsid w:val="71B4650C"/>
    <w:rsid w:val="71F56B82"/>
    <w:rsid w:val="720F2921"/>
    <w:rsid w:val="722D1687"/>
    <w:rsid w:val="725F0B93"/>
    <w:rsid w:val="73060DF5"/>
    <w:rsid w:val="73661C6A"/>
    <w:rsid w:val="751C0C67"/>
    <w:rsid w:val="75656B30"/>
    <w:rsid w:val="75801CC6"/>
    <w:rsid w:val="75A56AC7"/>
    <w:rsid w:val="764B4323"/>
    <w:rsid w:val="767F226B"/>
    <w:rsid w:val="768477DA"/>
    <w:rsid w:val="769D2F24"/>
    <w:rsid w:val="76A02A2C"/>
    <w:rsid w:val="76ED337C"/>
    <w:rsid w:val="777BDD5E"/>
    <w:rsid w:val="77FF86F0"/>
    <w:rsid w:val="78356324"/>
    <w:rsid w:val="79924B19"/>
    <w:rsid w:val="79DF5176"/>
    <w:rsid w:val="79E46F4B"/>
    <w:rsid w:val="7AB4116D"/>
    <w:rsid w:val="7BE10169"/>
    <w:rsid w:val="7C9954BD"/>
    <w:rsid w:val="7D681339"/>
    <w:rsid w:val="7D686A73"/>
    <w:rsid w:val="7FB3A24F"/>
    <w:rsid w:val="7FE36F7E"/>
    <w:rsid w:val="ADDE5407"/>
    <w:rsid w:val="FDFF614F"/>
    <w:rsid w:val="FF7D2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1"/>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32"/>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33"/>
    <w:qFormat/>
    <w:uiPriority w:val="0"/>
    <w:pPr>
      <w:keepNext/>
      <w:keepLines/>
      <w:spacing w:before="260" w:after="260" w:line="416" w:lineRule="auto"/>
      <w:outlineLvl w:val="2"/>
    </w:pPr>
    <w:rPr>
      <w:rFonts w:ascii="Times New Roman" w:hAnsi="Times New Roman"/>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link w:val="41"/>
    <w:qFormat/>
    <w:uiPriority w:val="0"/>
    <w:pPr>
      <w:adjustRightInd w:val="0"/>
      <w:snapToGrid w:val="0"/>
      <w:spacing w:line="300" w:lineRule="auto"/>
      <w:jc w:val="center"/>
    </w:pPr>
    <w:rPr>
      <w:rFonts w:ascii="Cambria" w:hAnsi="Cambria"/>
      <w:b/>
    </w:rPr>
  </w:style>
  <w:style w:type="paragraph" w:styleId="6">
    <w:name w:val="annotation text"/>
    <w:basedOn w:val="1"/>
    <w:link w:val="42"/>
    <w:qFormat/>
    <w:uiPriority w:val="0"/>
    <w:pPr>
      <w:jc w:val="left"/>
    </w:pPr>
  </w:style>
  <w:style w:type="paragraph" w:styleId="7">
    <w:name w:val="Body Text"/>
    <w:basedOn w:val="1"/>
    <w:link w:val="37"/>
    <w:qFormat/>
    <w:uiPriority w:val="0"/>
    <w:pPr>
      <w:ind w:left="289"/>
      <w:jc w:val="left"/>
    </w:pPr>
    <w:rPr>
      <w:rFonts w:ascii="宋体" w:hAnsi="宋体"/>
      <w:sz w:val="26"/>
      <w:szCs w:val="26"/>
      <w:lang w:eastAsia="en-US"/>
    </w:rPr>
  </w:style>
  <w:style w:type="paragraph" w:styleId="8">
    <w:name w:val="toc 3"/>
    <w:basedOn w:val="1"/>
    <w:next w:val="1"/>
    <w:qFormat/>
    <w:uiPriority w:val="39"/>
    <w:pPr>
      <w:widowControl/>
      <w:spacing w:after="100" w:line="259" w:lineRule="auto"/>
      <w:ind w:left="440"/>
      <w:jc w:val="left"/>
    </w:pPr>
    <w:rPr>
      <w:rFonts w:ascii="Times New Roman" w:hAnsi="Times New Roman"/>
      <w:kern w:val="0"/>
      <w:sz w:val="22"/>
    </w:rPr>
  </w:style>
  <w:style w:type="paragraph" w:styleId="9">
    <w:name w:val="Date"/>
    <w:basedOn w:val="1"/>
    <w:next w:val="1"/>
    <w:link w:val="45"/>
    <w:qFormat/>
    <w:uiPriority w:val="0"/>
    <w:pPr>
      <w:ind w:left="100" w:leftChars="2500"/>
    </w:pPr>
  </w:style>
  <w:style w:type="paragraph" w:styleId="10">
    <w:name w:val="Balloon Text"/>
    <w:basedOn w:val="1"/>
    <w:link w:val="58"/>
    <w:unhideWhenUsed/>
    <w:qFormat/>
    <w:uiPriority w:val="99"/>
    <w:rPr>
      <w:sz w:val="18"/>
      <w:szCs w:val="18"/>
    </w:rPr>
  </w:style>
  <w:style w:type="paragraph" w:styleId="11">
    <w:name w:val="footer"/>
    <w:basedOn w:val="1"/>
    <w:link w:val="34"/>
    <w:qFormat/>
    <w:uiPriority w:val="99"/>
    <w:pPr>
      <w:tabs>
        <w:tab w:val="center" w:pos="4153"/>
        <w:tab w:val="right" w:pos="8306"/>
      </w:tabs>
      <w:snapToGrid w:val="0"/>
      <w:jc w:val="left"/>
    </w:pPr>
    <w:rPr>
      <w:sz w:val="18"/>
      <w:szCs w:val="18"/>
    </w:rPr>
  </w:style>
  <w:style w:type="paragraph" w:styleId="12">
    <w:name w:val="header"/>
    <w:basedOn w:val="1"/>
    <w:link w:val="50"/>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rFonts w:ascii="Times New Roman" w:hAnsi="Times New Roman"/>
      <w:b/>
      <w:bCs/>
      <w:caps/>
      <w:sz w:val="20"/>
      <w:szCs w:val="20"/>
    </w:rPr>
  </w:style>
  <w:style w:type="paragraph" w:styleId="14">
    <w:name w:val="toc 2"/>
    <w:basedOn w:val="1"/>
    <w:next w:val="1"/>
    <w:qFormat/>
    <w:uiPriority w:val="39"/>
    <w:pPr>
      <w:tabs>
        <w:tab w:val="right" w:leader="dot" w:pos="8296"/>
      </w:tabs>
      <w:ind w:left="420" w:leftChars="200"/>
    </w:pPr>
    <w:rPr>
      <w:rFonts w:ascii="Times New Roman" w:hAnsi="Times New Roman"/>
      <w:b/>
      <w:sz w:val="22"/>
    </w:rPr>
  </w:style>
  <w:style w:type="paragraph" w:styleId="15">
    <w:name w:val="Normal (Web)"/>
    <w:basedOn w:val="1"/>
    <w:link w:val="64"/>
    <w:unhideWhenUsed/>
    <w:qFormat/>
    <w:uiPriority w:val="0"/>
    <w:pPr>
      <w:widowControl/>
      <w:spacing w:before="100" w:beforeAutospacing="1" w:after="100" w:afterAutospacing="1"/>
    </w:pPr>
    <w:rPr>
      <w:rFonts w:ascii="宋体" w:hAnsi="宋体" w:cs="宋体"/>
      <w:sz w:val="24"/>
      <w:szCs w:val="24"/>
    </w:rPr>
  </w:style>
  <w:style w:type="paragraph" w:styleId="16">
    <w:name w:val="Title"/>
    <w:basedOn w:val="1"/>
    <w:link w:val="56"/>
    <w:qFormat/>
    <w:uiPriority w:val="0"/>
    <w:pPr>
      <w:spacing w:before="240" w:after="60"/>
      <w:jc w:val="center"/>
      <w:outlineLvl w:val="0"/>
    </w:pPr>
    <w:rPr>
      <w:rFonts w:ascii="Arial" w:hAnsi="Arial"/>
      <w:b/>
      <w:sz w:val="32"/>
      <w:szCs w:val="20"/>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rFonts w:ascii="Times New Roman" w:hAnsi="Times New Roman" w:eastAsia="宋体" w:cs="Times New Roman"/>
      <w:b/>
      <w:sz w:val="2"/>
    </w:rPr>
  </w:style>
  <w:style w:type="character" w:styleId="21">
    <w:name w:val="page number"/>
    <w:qFormat/>
    <w:uiPriority w:val="0"/>
    <w:rPr>
      <w:rFonts w:ascii="Times New Roman" w:hAnsi="Times New Roman" w:eastAsia="宋体" w:cs="Times New Roman"/>
    </w:rPr>
  </w:style>
  <w:style w:type="character" w:styleId="22">
    <w:name w:val="FollowedHyperlink"/>
    <w:qFormat/>
    <w:uiPriority w:val="0"/>
    <w:rPr>
      <w:rFonts w:ascii="Times New Roman" w:hAnsi="Times New Roman" w:eastAsia="宋体" w:cs="Times New Roman"/>
      <w:color w:val="338DE6"/>
      <w:u w:val="none"/>
    </w:rPr>
  </w:style>
  <w:style w:type="character" w:styleId="23">
    <w:name w:val="Emphasis"/>
    <w:qFormat/>
    <w:uiPriority w:val="0"/>
    <w:rPr>
      <w:rFonts w:ascii="Times New Roman" w:hAnsi="Times New Roman" w:eastAsia="宋体" w:cs="Times New Roman"/>
    </w:rPr>
  </w:style>
  <w:style w:type="character" w:styleId="24">
    <w:name w:val="HTML Definition"/>
    <w:qFormat/>
    <w:uiPriority w:val="0"/>
    <w:rPr>
      <w:rFonts w:ascii="Times New Roman" w:hAnsi="Times New Roman" w:eastAsia="宋体" w:cs="Times New Roman"/>
    </w:rPr>
  </w:style>
  <w:style w:type="character" w:styleId="25">
    <w:name w:val="HTML Variable"/>
    <w:qFormat/>
    <w:uiPriority w:val="0"/>
    <w:rPr>
      <w:rFonts w:ascii="Times New Roman" w:hAnsi="Times New Roman" w:eastAsia="宋体" w:cs="Times New Roman"/>
      <w:sz w:val="2"/>
    </w:rPr>
  </w:style>
  <w:style w:type="character" w:styleId="26">
    <w:name w:val="Hyperlink"/>
    <w:qFormat/>
    <w:uiPriority w:val="99"/>
    <w:rPr>
      <w:rFonts w:ascii="Times New Roman" w:hAnsi="Times New Roman" w:eastAsia="宋体" w:cs="Times New Roman"/>
      <w:color w:val="0563C1"/>
      <w:u w:val="single"/>
    </w:rPr>
  </w:style>
  <w:style w:type="character" w:styleId="27">
    <w:name w:val="HTML Code"/>
    <w:qFormat/>
    <w:uiPriority w:val="0"/>
    <w:rPr>
      <w:rFonts w:ascii="monospace" w:hAnsi="monospace" w:eastAsia="宋体" w:cs="monospace"/>
      <w:sz w:val="21"/>
      <w:szCs w:val="21"/>
    </w:rPr>
  </w:style>
  <w:style w:type="character" w:styleId="28">
    <w:name w:val="HTML Cite"/>
    <w:qFormat/>
    <w:uiPriority w:val="0"/>
    <w:rPr>
      <w:rFonts w:ascii="Times New Roman" w:hAnsi="Times New Roman" w:eastAsia="宋体" w:cs="Times New Roman"/>
      <w:color w:val="3E6488"/>
    </w:rPr>
  </w:style>
  <w:style w:type="character" w:styleId="29">
    <w:name w:val="HTML Keyboard"/>
    <w:qFormat/>
    <w:uiPriority w:val="0"/>
    <w:rPr>
      <w:rFonts w:ascii="monospace" w:hAnsi="monospace" w:eastAsia="宋体" w:cs="monospace"/>
      <w:sz w:val="21"/>
      <w:szCs w:val="21"/>
    </w:rPr>
  </w:style>
  <w:style w:type="character" w:styleId="30">
    <w:name w:val="HTML Sample"/>
    <w:qFormat/>
    <w:uiPriority w:val="0"/>
    <w:rPr>
      <w:rFonts w:ascii="monospace" w:hAnsi="monospace" w:eastAsia="宋体" w:cs="monospace"/>
      <w:sz w:val="21"/>
      <w:szCs w:val="21"/>
    </w:rPr>
  </w:style>
  <w:style w:type="character" w:customStyle="1" w:styleId="31">
    <w:name w:val="标题 1 字符"/>
    <w:basedOn w:val="19"/>
    <w:link w:val="2"/>
    <w:qFormat/>
    <w:uiPriority w:val="0"/>
    <w:rPr>
      <w:rFonts w:ascii="Times New Roman" w:hAnsi="Times New Roman" w:eastAsia="宋体" w:cs="Times New Roman"/>
      <w:b/>
      <w:bCs/>
      <w:kern w:val="44"/>
      <w:sz w:val="44"/>
      <w:szCs w:val="44"/>
    </w:rPr>
  </w:style>
  <w:style w:type="character" w:customStyle="1" w:styleId="32">
    <w:name w:val="标题 2 字符"/>
    <w:basedOn w:val="19"/>
    <w:link w:val="3"/>
    <w:qFormat/>
    <w:uiPriority w:val="0"/>
    <w:rPr>
      <w:rFonts w:ascii="Calibri Light" w:hAnsi="Calibri Light" w:eastAsia="宋体" w:cs="Times New Roman"/>
      <w:b/>
      <w:bCs/>
      <w:sz w:val="32"/>
      <w:szCs w:val="32"/>
    </w:rPr>
  </w:style>
  <w:style w:type="character" w:customStyle="1" w:styleId="33">
    <w:name w:val="标题 3 字符"/>
    <w:basedOn w:val="19"/>
    <w:link w:val="4"/>
    <w:qFormat/>
    <w:uiPriority w:val="0"/>
    <w:rPr>
      <w:rFonts w:ascii="Times New Roman" w:hAnsi="Times New Roman" w:eastAsia="宋体" w:cs="Times New Roman"/>
      <w:b/>
      <w:bCs/>
      <w:sz w:val="32"/>
      <w:szCs w:val="32"/>
    </w:rPr>
  </w:style>
  <w:style w:type="character" w:customStyle="1" w:styleId="34">
    <w:name w:val="页脚 字符"/>
    <w:link w:val="11"/>
    <w:qFormat/>
    <w:uiPriority w:val="99"/>
    <w:rPr>
      <w:rFonts w:ascii="Calibri" w:hAnsi="Calibri" w:eastAsia="宋体" w:cs="Times New Roman"/>
      <w:sz w:val="18"/>
      <w:szCs w:val="18"/>
    </w:rPr>
  </w:style>
  <w:style w:type="character" w:customStyle="1" w:styleId="35">
    <w:name w:val="页脚 Char1"/>
    <w:basedOn w:val="19"/>
    <w:semiHidden/>
    <w:qFormat/>
    <w:uiPriority w:val="99"/>
    <w:rPr>
      <w:rFonts w:ascii="Calibri" w:hAnsi="Calibri" w:eastAsia="宋体" w:cs="Times New Roman"/>
      <w:sz w:val="18"/>
      <w:szCs w:val="18"/>
    </w:rPr>
  </w:style>
  <w:style w:type="paragraph" w:customStyle="1" w:styleId="36">
    <w:name w:val="Heading 11"/>
    <w:basedOn w:val="1"/>
    <w:qFormat/>
    <w:uiPriority w:val="0"/>
    <w:pPr>
      <w:jc w:val="left"/>
      <w:outlineLvl w:val="1"/>
    </w:pPr>
    <w:rPr>
      <w:rFonts w:ascii="黑体" w:hAnsi="黑体" w:eastAsia="黑体"/>
      <w:kern w:val="0"/>
      <w:sz w:val="32"/>
      <w:szCs w:val="32"/>
      <w:lang w:eastAsia="en-US"/>
    </w:rPr>
  </w:style>
  <w:style w:type="character" w:customStyle="1" w:styleId="37">
    <w:name w:val="正文文本 字符"/>
    <w:link w:val="7"/>
    <w:qFormat/>
    <w:uiPriority w:val="0"/>
    <w:rPr>
      <w:rFonts w:ascii="宋体" w:hAnsi="宋体" w:eastAsia="宋体" w:cs="Times New Roman"/>
      <w:sz w:val="26"/>
      <w:szCs w:val="26"/>
      <w:lang w:eastAsia="en-US"/>
    </w:rPr>
  </w:style>
  <w:style w:type="character" w:customStyle="1" w:styleId="38">
    <w:name w:val="正文文本 Char1"/>
    <w:basedOn w:val="19"/>
    <w:semiHidden/>
    <w:qFormat/>
    <w:uiPriority w:val="99"/>
    <w:rPr>
      <w:rFonts w:ascii="Calibri" w:hAnsi="Calibri" w:eastAsia="宋体" w:cs="Times New Roman"/>
    </w:rPr>
  </w:style>
  <w:style w:type="paragraph" w:customStyle="1" w:styleId="39">
    <w:name w:val="TOC Heading1"/>
    <w:basedOn w:val="2"/>
    <w:next w:val="1"/>
    <w:qFormat/>
    <w:uiPriority w:val="0"/>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40">
    <w:name w:val="列出段落1"/>
    <w:basedOn w:val="1"/>
    <w:qFormat/>
    <w:uiPriority w:val="0"/>
    <w:pPr>
      <w:ind w:firstLine="420" w:firstLineChars="200"/>
    </w:pPr>
    <w:rPr>
      <w:rFonts w:ascii="Times New Roman" w:hAnsi="Times New Roman"/>
    </w:rPr>
  </w:style>
  <w:style w:type="character" w:customStyle="1" w:styleId="41">
    <w:name w:val="题注 字符"/>
    <w:link w:val="5"/>
    <w:qFormat/>
    <w:uiPriority w:val="0"/>
    <w:rPr>
      <w:rFonts w:ascii="Cambria" w:hAnsi="Cambria" w:eastAsia="宋体" w:cs="Times New Roman"/>
      <w:b/>
    </w:rPr>
  </w:style>
  <w:style w:type="character" w:customStyle="1" w:styleId="42">
    <w:name w:val="批注文字 字符"/>
    <w:link w:val="6"/>
    <w:qFormat/>
    <w:uiPriority w:val="0"/>
    <w:rPr>
      <w:rFonts w:ascii="Calibri" w:hAnsi="Calibri" w:eastAsia="宋体" w:cs="Times New Roman"/>
    </w:rPr>
  </w:style>
  <w:style w:type="character" w:customStyle="1" w:styleId="43">
    <w:name w:val="批注文字 Char1"/>
    <w:basedOn w:val="19"/>
    <w:semiHidden/>
    <w:qFormat/>
    <w:uiPriority w:val="99"/>
    <w:rPr>
      <w:rFonts w:ascii="Calibri" w:hAnsi="Calibri" w:eastAsia="宋体" w:cs="Times New Roman"/>
    </w:rPr>
  </w:style>
  <w:style w:type="character" w:customStyle="1" w:styleId="44">
    <w:name w:val="fontborder"/>
    <w:qFormat/>
    <w:uiPriority w:val="0"/>
    <w:rPr>
      <w:rFonts w:ascii="Times New Roman" w:hAnsi="Times New Roman" w:eastAsia="宋体" w:cs="Times New Roman"/>
      <w:bdr w:val="single" w:color="auto" w:sz="6" w:space="0"/>
    </w:rPr>
  </w:style>
  <w:style w:type="character" w:customStyle="1" w:styleId="45">
    <w:name w:val="日期 字符"/>
    <w:link w:val="9"/>
    <w:qFormat/>
    <w:uiPriority w:val="0"/>
    <w:rPr>
      <w:rFonts w:ascii="Calibri" w:hAnsi="Calibri" w:eastAsia="宋体" w:cs="Times New Roman"/>
    </w:rPr>
  </w:style>
  <w:style w:type="character" w:customStyle="1" w:styleId="46">
    <w:name w:val="日期 Char1"/>
    <w:basedOn w:val="19"/>
    <w:semiHidden/>
    <w:qFormat/>
    <w:uiPriority w:val="99"/>
    <w:rPr>
      <w:rFonts w:ascii="Calibri" w:hAnsi="Calibri" w:eastAsia="宋体" w:cs="Times New Roman"/>
    </w:rPr>
  </w:style>
  <w:style w:type="character" w:customStyle="1" w:styleId="47">
    <w:name w:val="YL表头 Char"/>
    <w:link w:val="48"/>
    <w:qFormat/>
    <w:uiPriority w:val="0"/>
    <w:rPr>
      <w:rFonts w:ascii="Cambria" w:hAnsi="Cambria" w:eastAsia="宋体" w:cs="Times New Roman"/>
      <w:b/>
    </w:rPr>
  </w:style>
  <w:style w:type="paragraph" w:customStyle="1" w:styleId="48">
    <w:name w:val="YL表头"/>
    <w:basedOn w:val="5"/>
    <w:link w:val="47"/>
    <w:qFormat/>
    <w:uiPriority w:val="0"/>
    <w:pPr>
      <w:adjustRightInd/>
      <w:snapToGrid/>
      <w:spacing w:beforeLines="30" w:afterLines="20" w:line="240" w:lineRule="auto"/>
    </w:pPr>
  </w:style>
  <w:style w:type="character" w:customStyle="1" w:styleId="49">
    <w:name w:val="fontstrikethrough"/>
    <w:qFormat/>
    <w:uiPriority w:val="0"/>
    <w:rPr>
      <w:rFonts w:ascii="Times New Roman" w:hAnsi="Times New Roman" w:eastAsia="宋体" w:cs="Times New Roman"/>
      <w:strike/>
    </w:rPr>
  </w:style>
  <w:style w:type="character" w:customStyle="1" w:styleId="50">
    <w:name w:val="页眉 字符"/>
    <w:link w:val="12"/>
    <w:qFormat/>
    <w:uiPriority w:val="99"/>
    <w:rPr>
      <w:rFonts w:ascii="Calibri" w:hAnsi="Calibri" w:eastAsia="宋体" w:cs="Times New Roman"/>
      <w:sz w:val="18"/>
      <w:szCs w:val="18"/>
    </w:rPr>
  </w:style>
  <w:style w:type="character" w:customStyle="1" w:styleId="51">
    <w:name w:val="页眉 Char1"/>
    <w:basedOn w:val="19"/>
    <w:semiHidden/>
    <w:qFormat/>
    <w:uiPriority w:val="99"/>
    <w:rPr>
      <w:rFonts w:ascii="Calibri" w:hAnsi="Calibri" w:eastAsia="宋体" w:cs="Times New Roman"/>
      <w:sz w:val="18"/>
      <w:szCs w:val="18"/>
    </w:rPr>
  </w:style>
  <w:style w:type="paragraph" w:customStyle="1" w:styleId="52">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3">
    <w:name w:val="段"/>
    <w:qFormat/>
    <w:uiPriority w:val="0"/>
    <w:pPr>
      <w:autoSpaceDE w:val="0"/>
      <w:autoSpaceDN w:val="0"/>
      <w:ind w:firstLine="420" w:firstLineChars="200"/>
      <w:jc w:val="both"/>
    </w:pPr>
    <w:rPr>
      <w:rFonts w:ascii="宋体" w:hAnsi="Times New Roman" w:eastAsia="宋体" w:cs="Times New Roman"/>
      <w:kern w:val="2"/>
      <w:sz w:val="22"/>
      <w:szCs w:val="22"/>
      <w:lang w:val="en-US" w:eastAsia="zh-CN" w:bidi="ar-SA"/>
    </w:rPr>
  </w:style>
  <w:style w:type="paragraph" w:customStyle="1" w:styleId="54">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列表段落1"/>
    <w:basedOn w:val="1"/>
    <w:qFormat/>
    <w:uiPriority w:val="0"/>
    <w:pPr>
      <w:ind w:firstLine="420" w:firstLineChars="200"/>
    </w:pPr>
    <w:rPr>
      <w:rFonts w:ascii="Times New Roman" w:hAnsi="Times New Roman"/>
    </w:rPr>
  </w:style>
  <w:style w:type="character" w:customStyle="1" w:styleId="56">
    <w:name w:val="标题 字符"/>
    <w:basedOn w:val="19"/>
    <w:link w:val="16"/>
    <w:qFormat/>
    <w:uiPriority w:val="0"/>
    <w:rPr>
      <w:rFonts w:ascii="Arial" w:hAnsi="Arial" w:eastAsia="宋体" w:cs="Times New Roman"/>
      <w:b/>
      <w:sz w:val="32"/>
      <w:szCs w:val="20"/>
    </w:rPr>
  </w:style>
  <w:style w:type="paragraph" w:customStyle="1" w:styleId="57">
    <w:name w:val="章标题"/>
    <w:next w:val="53"/>
    <w:qFormat/>
    <w:uiPriority w:val="0"/>
    <w:pPr>
      <w:spacing w:beforeLines="100" w:afterLines="100"/>
      <w:ind w:left="142"/>
      <w:jc w:val="both"/>
      <w:outlineLvl w:val="1"/>
    </w:pPr>
    <w:rPr>
      <w:rFonts w:ascii="黑体" w:hAnsi="Times New Roman" w:eastAsia="黑体" w:cs="Times New Roman"/>
      <w:sz w:val="21"/>
      <w:lang w:val="en-US" w:eastAsia="zh-CN" w:bidi="ar-SA"/>
    </w:rPr>
  </w:style>
  <w:style w:type="character" w:customStyle="1" w:styleId="58">
    <w:name w:val="批注框文本 字符"/>
    <w:basedOn w:val="19"/>
    <w:link w:val="10"/>
    <w:semiHidden/>
    <w:qFormat/>
    <w:uiPriority w:val="99"/>
    <w:rPr>
      <w:rFonts w:ascii="Calibri" w:hAnsi="Calibri" w:eastAsia="宋体" w:cs="Times New Roman"/>
      <w:sz w:val="18"/>
      <w:szCs w:val="18"/>
    </w:rPr>
  </w:style>
  <w:style w:type="character" w:customStyle="1" w:styleId="59">
    <w:name w:val="doc_title"/>
    <w:basedOn w:val="19"/>
    <w:qFormat/>
    <w:uiPriority w:val="0"/>
  </w:style>
  <w:style w:type="paragraph" w:customStyle="1" w:styleId="6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61">
    <w:name w:val="列出段落11"/>
    <w:basedOn w:val="1"/>
    <w:qFormat/>
    <w:uiPriority w:val="0"/>
    <w:pPr>
      <w:ind w:firstLine="420" w:firstLineChars="200"/>
    </w:pPr>
  </w:style>
  <w:style w:type="paragraph" w:customStyle="1" w:styleId="62">
    <w:name w:val="Body text|1"/>
    <w:basedOn w:val="1"/>
    <w:qFormat/>
    <w:uiPriority w:val="0"/>
    <w:pPr>
      <w:adjustRightInd w:val="0"/>
      <w:snapToGrid w:val="0"/>
      <w:spacing w:after="880" w:line="1229" w:lineRule="exact"/>
      <w:ind w:firstLine="880" w:firstLineChars="200"/>
      <w:jc w:val="left"/>
    </w:pPr>
    <w:rPr>
      <w:rFonts w:ascii="宋体" w:hAnsi="宋体" w:cs="宋体"/>
      <w:color w:val="010202"/>
      <w:kern w:val="0"/>
      <w:sz w:val="26"/>
      <w:szCs w:val="26"/>
      <w:u w:val="single"/>
      <w:lang w:val="zh-TW" w:eastAsia="zh-TW" w:bidi="zh-TW"/>
    </w:rPr>
  </w:style>
  <w:style w:type="paragraph" w:styleId="63">
    <w:name w:val="List Paragraph"/>
    <w:basedOn w:val="1"/>
    <w:qFormat/>
    <w:uiPriority w:val="0"/>
    <w:pPr>
      <w:ind w:firstLine="420" w:firstLineChars="200"/>
    </w:pPr>
  </w:style>
  <w:style w:type="character" w:customStyle="1" w:styleId="64">
    <w:name w:val="普通(网站) 字符"/>
    <w:link w:val="15"/>
    <w:qFormat/>
    <w:uiPriority w:val="0"/>
    <w:rPr>
      <w:rFonts w:ascii="宋体" w:hAnsi="宋体" w:cs="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8619</Words>
  <Characters>9140</Characters>
  <Lines>89</Lines>
  <Paragraphs>25</Paragraphs>
  <TotalTime>249</TotalTime>
  <ScaleCrop>false</ScaleCrop>
  <LinksUpToDate>false</LinksUpToDate>
  <CharactersWithSpaces>9772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2020-08-07T21:31:00Z</dcterms:created>
  <dc:creator>greatsky5</dc:creator>
  <cp:lastModifiedBy>飞翔</cp:lastModifiedBy>
  <dcterms:modified xsi:type="dcterms:W3CDTF">2024-10-15T02:28:02Z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332C2C8831EB406AB0839FB20A9B2CAA_13</vt:lpwstr>
  </property>
</Properties>
</file>